
<file path=[Content_Types].xml><?xml version="1.0" encoding="utf-8"?>
<Types xmlns="http://schemas.openxmlformats.org/package/2006/content-types">
  <Default Extension="emf" ContentType="image/x-emf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8074322" w14:textId="16C6222D" w:rsidR="00675C78" w:rsidRDefault="00675C78" w:rsidP="00675C78">
      <w:pPr>
        <w:jc w:val="center"/>
        <w:rPr>
          <w:b/>
          <w:bCs/>
          <w:sz w:val="28"/>
          <w:szCs w:val="28"/>
          <w:lang w:eastAsia="en-US"/>
        </w:rPr>
      </w:pPr>
      <w:r w:rsidRPr="00675C78">
        <w:rPr>
          <w:b/>
          <w:bCs/>
          <w:sz w:val="28"/>
          <w:szCs w:val="28"/>
          <w:lang w:eastAsia="en-US"/>
        </w:rPr>
        <w:t>Monitoring and Review Special Interest Group 2022-23</w:t>
      </w:r>
    </w:p>
    <w:p w14:paraId="4A19D171" w14:textId="4DD1B04D" w:rsidR="00675C78" w:rsidRPr="00675C78" w:rsidRDefault="00675C78" w:rsidP="00675C78">
      <w:pPr>
        <w:jc w:val="center"/>
        <w:rPr>
          <w:sz w:val="24"/>
          <w:szCs w:val="24"/>
          <w:lang w:eastAsia="en-US"/>
        </w:rPr>
      </w:pPr>
      <w:r w:rsidRPr="00675C78">
        <w:rPr>
          <w:sz w:val="24"/>
          <w:szCs w:val="24"/>
          <w:lang w:eastAsia="en-US"/>
        </w:rPr>
        <w:t>Kelly Hand and Sarah Plumeridge</w:t>
      </w:r>
    </w:p>
    <w:p w14:paraId="439DC61D" w14:textId="77777777" w:rsidR="00675C78" w:rsidRDefault="00675C78" w:rsidP="00B86AFA">
      <w:pPr>
        <w:rPr>
          <w:b/>
          <w:bCs/>
          <w:sz w:val="24"/>
          <w:szCs w:val="24"/>
          <w:lang w:eastAsia="en-US"/>
        </w:rPr>
      </w:pPr>
    </w:p>
    <w:p w14:paraId="2DF552D7" w14:textId="6BD0C837" w:rsidR="00B86AFA" w:rsidRPr="00675C78" w:rsidRDefault="00B86AFA" w:rsidP="00B86AFA">
      <w:pPr>
        <w:rPr>
          <w:b/>
          <w:bCs/>
          <w:sz w:val="24"/>
          <w:szCs w:val="24"/>
          <w:lang w:eastAsia="en-US"/>
        </w:rPr>
      </w:pPr>
      <w:r w:rsidRPr="00675C78">
        <w:rPr>
          <w:b/>
          <w:bCs/>
          <w:sz w:val="24"/>
          <w:szCs w:val="24"/>
          <w:lang w:eastAsia="en-US"/>
        </w:rPr>
        <w:t xml:space="preserve">SIG meeting 1 </w:t>
      </w:r>
      <w:r w:rsidR="00675C78" w:rsidRPr="00675C78">
        <w:rPr>
          <w:b/>
          <w:bCs/>
          <w:sz w:val="24"/>
          <w:szCs w:val="24"/>
          <w:lang w:eastAsia="en-US"/>
        </w:rPr>
        <w:t>- 16</w:t>
      </w:r>
      <w:r w:rsidR="00675C78" w:rsidRPr="00675C78">
        <w:rPr>
          <w:b/>
          <w:bCs/>
          <w:sz w:val="24"/>
          <w:szCs w:val="24"/>
          <w:vertAlign w:val="superscript"/>
          <w:lang w:eastAsia="en-US"/>
        </w:rPr>
        <w:t xml:space="preserve">t </w:t>
      </w:r>
      <w:r w:rsidRPr="00675C78">
        <w:rPr>
          <w:b/>
          <w:bCs/>
          <w:sz w:val="24"/>
          <w:szCs w:val="24"/>
          <w:lang w:eastAsia="en-US"/>
        </w:rPr>
        <w:t>September 2022</w:t>
      </w:r>
    </w:p>
    <w:p w14:paraId="652CAE25" w14:textId="77777777" w:rsidR="00B86AFA" w:rsidRDefault="00B86AFA" w:rsidP="00B86AFA">
      <w:pPr>
        <w:rPr>
          <w:rFonts w:eastAsia="Times New Roman"/>
          <w:b/>
          <w:bCs/>
          <w:sz w:val="22"/>
          <w:szCs w:val="22"/>
          <w:lang w:eastAsia="en-US"/>
        </w:rPr>
      </w:pPr>
    </w:p>
    <w:p w14:paraId="0A0320CA" w14:textId="73B3A1F7" w:rsidR="00B86AFA" w:rsidRPr="00B86AFA" w:rsidRDefault="00B86AFA" w:rsidP="00B86AFA">
      <w:pPr>
        <w:rPr>
          <w:rFonts w:eastAsia="Times New Roman"/>
          <w:sz w:val="22"/>
          <w:szCs w:val="22"/>
          <w:lang w:eastAsia="en-US"/>
        </w:rPr>
      </w:pPr>
      <w:r w:rsidRPr="00B86AFA">
        <w:rPr>
          <w:rFonts w:eastAsia="Times New Roman"/>
          <w:b/>
          <w:bCs/>
          <w:sz w:val="22"/>
          <w:szCs w:val="22"/>
          <w:lang w:eastAsia="en-US"/>
        </w:rPr>
        <w:t>Focus:</w:t>
      </w:r>
      <w:r w:rsidRPr="00B86AFA">
        <w:rPr>
          <w:rFonts w:eastAsia="Times New Roman"/>
          <w:sz w:val="22"/>
          <w:szCs w:val="22"/>
          <w:lang w:eastAsia="en-US"/>
        </w:rPr>
        <w:t xml:space="preserve"> Monitoring</w:t>
      </w:r>
    </w:p>
    <w:p w14:paraId="7C6C9278" w14:textId="77777777" w:rsidR="00B86AFA" w:rsidRDefault="00B86AFA" w:rsidP="00B86AFA">
      <w:pPr>
        <w:rPr>
          <w:rFonts w:eastAsia="Times New Roman"/>
          <w:sz w:val="22"/>
          <w:szCs w:val="22"/>
          <w:lang w:eastAsia="en-US"/>
        </w:rPr>
      </w:pPr>
    </w:p>
    <w:p w14:paraId="42BCB24C" w14:textId="7E21A2B2" w:rsidR="00B86AFA" w:rsidRDefault="00B86AFA" w:rsidP="00B86AFA">
      <w:pPr>
        <w:rPr>
          <w:rFonts w:eastAsia="Times New Roman"/>
          <w:sz w:val="22"/>
          <w:szCs w:val="22"/>
          <w:lang w:eastAsia="en-US"/>
        </w:rPr>
      </w:pPr>
      <w:r w:rsidRPr="00B86AFA">
        <w:rPr>
          <w:rFonts w:eastAsia="Times New Roman"/>
          <w:b/>
          <w:bCs/>
          <w:sz w:val="22"/>
          <w:szCs w:val="22"/>
          <w:lang w:eastAsia="en-US"/>
        </w:rPr>
        <w:t>Description:</w:t>
      </w:r>
      <w:r w:rsidRPr="00B86AFA">
        <w:t xml:space="preserve"> </w:t>
      </w:r>
      <w:r w:rsidRPr="00B86AFA">
        <w:rPr>
          <w:rFonts w:eastAsia="Times New Roman"/>
          <w:sz w:val="22"/>
          <w:szCs w:val="22"/>
          <w:lang w:eastAsia="en-US"/>
        </w:rPr>
        <w:t xml:space="preserve">The </w:t>
      </w:r>
      <w:proofErr w:type="gramStart"/>
      <w:r w:rsidRPr="00B86AFA">
        <w:rPr>
          <w:rFonts w:eastAsia="Times New Roman"/>
          <w:sz w:val="22"/>
          <w:szCs w:val="22"/>
          <w:lang w:eastAsia="en-US"/>
        </w:rPr>
        <w:t>main focus</w:t>
      </w:r>
      <w:proofErr w:type="gramEnd"/>
      <w:r w:rsidRPr="00B86AFA">
        <w:rPr>
          <w:rFonts w:eastAsia="Times New Roman"/>
          <w:sz w:val="22"/>
          <w:szCs w:val="22"/>
          <w:lang w:eastAsia="en-US"/>
        </w:rPr>
        <w:t xml:space="preserve"> of this workshop </w:t>
      </w:r>
      <w:r>
        <w:rPr>
          <w:rFonts w:eastAsia="Times New Roman"/>
          <w:sz w:val="22"/>
          <w:szCs w:val="22"/>
          <w:lang w:eastAsia="en-US"/>
        </w:rPr>
        <w:t>was the</w:t>
      </w:r>
      <w:r w:rsidRPr="00B86AFA">
        <w:rPr>
          <w:rFonts w:eastAsia="Times New Roman"/>
          <w:sz w:val="22"/>
          <w:szCs w:val="22"/>
          <w:lang w:eastAsia="en-US"/>
        </w:rPr>
        <w:t xml:space="preserve"> new UUK Framework for Programme Reviews and how/if institutions propose to integrate this within their existing quality assurance frameworks.</w:t>
      </w:r>
    </w:p>
    <w:p w14:paraId="6B6B7E06" w14:textId="15CE93A9" w:rsidR="00B86AFA" w:rsidRDefault="00B86AFA" w:rsidP="00B86AFA">
      <w:pPr>
        <w:rPr>
          <w:rFonts w:eastAsia="Times New Roman"/>
          <w:sz w:val="22"/>
          <w:szCs w:val="22"/>
          <w:lang w:eastAsia="en-US"/>
        </w:rPr>
      </w:pPr>
    </w:p>
    <w:p w14:paraId="31036807" w14:textId="0DE6AADD" w:rsidR="00B86AFA" w:rsidRPr="00B86AFA" w:rsidRDefault="00B86AFA" w:rsidP="00B86AFA">
      <w:pPr>
        <w:rPr>
          <w:rFonts w:eastAsia="Times New Roman"/>
          <w:b/>
          <w:bCs/>
          <w:sz w:val="22"/>
          <w:szCs w:val="22"/>
          <w:lang w:eastAsia="en-US"/>
        </w:rPr>
      </w:pPr>
      <w:r w:rsidRPr="00B86AFA">
        <w:rPr>
          <w:rFonts w:eastAsia="Times New Roman"/>
          <w:b/>
          <w:bCs/>
          <w:sz w:val="22"/>
          <w:szCs w:val="22"/>
          <w:lang w:eastAsia="en-US"/>
        </w:rPr>
        <w:t>Slide deck:</w:t>
      </w:r>
    </w:p>
    <w:p w14:paraId="780B2FD2" w14:textId="77777777" w:rsidR="00B86AFA" w:rsidRDefault="00B86AFA" w:rsidP="00B86AFA">
      <w:r>
        <w:object w:dxaOrig="1544" w:dyaOrig="998" w14:anchorId="7912EC2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25pt;height:50.25pt" o:ole="">
            <v:imagedata r:id="rId5" o:title=""/>
          </v:shape>
          <o:OLEObject Type="Embed" ProgID="PowerPoint.Show.12" ShapeID="_x0000_i1025" DrawAspect="Icon" ObjectID="_1738998366" r:id="rId6"/>
        </w:object>
      </w:r>
    </w:p>
    <w:p w14:paraId="703510FD" w14:textId="77777777" w:rsidR="0018202F" w:rsidRDefault="0018202F" w:rsidP="00B86AFA">
      <w:pPr>
        <w:rPr>
          <w:rFonts w:eastAsia="Times New Roman"/>
          <w:b/>
          <w:bCs/>
          <w:sz w:val="22"/>
          <w:szCs w:val="22"/>
          <w:lang w:eastAsia="en-US"/>
        </w:rPr>
      </w:pPr>
    </w:p>
    <w:p w14:paraId="655205BB" w14:textId="63C0A2DE" w:rsidR="00B86AFA" w:rsidRPr="00B86AFA" w:rsidRDefault="00B86AFA" w:rsidP="00B86AFA">
      <w:pPr>
        <w:rPr>
          <w:rFonts w:eastAsia="Times New Roman"/>
          <w:b/>
          <w:bCs/>
          <w:sz w:val="22"/>
          <w:szCs w:val="22"/>
          <w:lang w:eastAsia="en-US"/>
        </w:rPr>
      </w:pPr>
      <w:r w:rsidRPr="00B86AFA">
        <w:rPr>
          <w:rFonts w:eastAsia="Times New Roman"/>
          <w:b/>
          <w:bCs/>
          <w:sz w:val="22"/>
          <w:szCs w:val="22"/>
          <w:lang w:eastAsia="en-US"/>
        </w:rPr>
        <w:t>Key Points:</w:t>
      </w:r>
    </w:p>
    <w:p w14:paraId="5417098E" w14:textId="77777777" w:rsidR="00B86AFA" w:rsidRPr="00B86AFA" w:rsidRDefault="00B86AFA" w:rsidP="00B86AFA">
      <w:pPr>
        <w:pStyle w:val="ListParagraph"/>
        <w:numPr>
          <w:ilvl w:val="0"/>
          <w:numId w:val="1"/>
        </w:numPr>
        <w:rPr>
          <w:rFonts w:eastAsia="Times New Roman"/>
          <w:sz w:val="22"/>
          <w:szCs w:val="22"/>
          <w:lang w:eastAsia="en-US"/>
        </w:rPr>
      </w:pPr>
      <w:r w:rsidRPr="00B86AFA">
        <w:rPr>
          <w:rFonts w:eastAsia="Times New Roman"/>
          <w:sz w:val="22"/>
          <w:szCs w:val="22"/>
          <w:lang w:eastAsia="en-US"/>
        </w:rPr>
        <w:t>B3 anxiety</w:t>
      </w:r>
    </w:p>
    <w:p w14:paraId="12D67E68" w14:textId="77777777" w:rsidR="00B86AFA" w:rsidRPr="00B86AFA" w:rsidRDefault="00B86AFA" w:rsidP="00B86AFA">
      <w:pPr>
        <w:pStyle w:val="ListParagraph"/>
        <w:numPr>
          <w:ilvl w:val="0"/>
          <w:numId w:val="2"/>
        </w:numPr>
        <w:rPr>
          <w:rFonts w:eastAsia="Times New Roman"/>
          <w:sz w:val="22"/>
          <w:szCs w:val="22"/>
          <w:lang w:eastAsia="en-US"/>
        </w:rPr>
      </w:pPr>
      <w:r w:rsidRPr="00B86AFA">
        <w:rPr>
          <w:rFonts w:eastAsia="Times New Roman"/>
          <w:sz w:val="22"/>
          <w:szCs w:val="22"/>
          <w:lang w:eastAsia="en-US"/>
        </w:rPr>
        <w:t>Should we develop our own data sets alongside B3 (ref UUK additional data)</w:t>
      </w:r>
      <w:r w:rsidRPr="00B86AFA">
        <w:rPr>
          <w:rFonts w:eastAsia="Times New Roman"/>
        </w:rPr>
        <w:t xml:space="preserve"> </w:t>
      </w:r>
    </w:p>
    <w:p w14:paraId="49BC0BE3" w14:textId="77777777" w:rsidR="00B86AFA" w:rsidRPr="00B86AFA" w:rsidRDefault="00B86AFA" w:rsidP="00B86AFA">
      <w:pPr>
        <w:pStyle w:val="ListParagraph"/>
        <w:numPr>
          <w:ilvl w:val="1"/>
          <w:numId w:val="2"/>
        </w:numPr>
        <w:rPr>
          <w:rFonts w:eastAsia="Times New Roman"/>
          <w:sz w:val="22"/>
          <w:szCs w:val="22"/>
          <w:lang w:eastAsia="en-US"/>
        </w:rPr>
      </w:pPr>
      <w:r w:rsidRPr="00B86AFA">
        <w:rPr>
          <w:rFonts w:eastAsia="Times New Roman"/>
          <w:sz w:val="22"/>
          <w:szCs w:val="22"/>
          <w:lang w:eastAsia="en-US"/>
        </w:rPr>
        <w:t>Setting the level/benchmarks to determine risk (low/medium/high)</w:t>
      </w:r>
    </w:p>
    <w:p w14:paraId="4E20CE78" w14:textId="77777777" w:rsidR="00B86AFA" w:rsidRDefault="00B86AFA" w:rsidP="00B86AFA">
      <w:pPr>
        <w:pStyle w:val="ListParagraph"/>
        <w:numPr>
          <w:ilvl w:val="0"/>
          <w:numId w:val="2"/>
        </w:numPr>
        <w:rPr>
          <w:rFonts w:eastAsia="Times New Roman"/>
          <w:sz w:val="22"/>
          <w:szCs w:val="22"/>
          <w:lang w:eastAsia="en-US"/>
        </w:rPr>
      </w:pPr>
      <w:r w:rsidRPr="00B86AFA">
        <w:rPr>
          <w:rFonts w:eastAsia="Times New Roman"/>
          <w:sz w:val="22"/>
          <w:szCs w:val="22"/>
          <w:lang w:eastAsia="en-US"/>
        </w:rPr>
        <w:t>Dangers</w:t>
      </w:r>
      <w:r>
        <w:rPr>
          <w:rFonts w:eastAsia="Times New Roman"/>
          <w:sz w:val="22"/>
          <w:szCs w:val="22"/>
          <w:lang w:eastAsia="en-US"/>
        </w:rPr>
        <w:t xml:space="preserve"> of annual monitoring becoming </w:t>
      </w:r>
      <w:proofErr w:type="gramStart"/>
      <w:r>
        <w:rPr>
          <w:rFonts w:eastAsia="Times New Roman"/>
          <w:sz w:val="22"/>
          <w:szCs w:val="22"/>
          <w:lang w:eastAsia="en-US"/>
        </w:rPr>
        <w:t>punitive</w:t>
      </w:r>
      <w:proofErr w:type="gramEnd"/>
      <w:r>
        <w:rPr>
          <w:rFonts w:eastAsia="Times New Roman"/>
          <w:sz w:val="22"/>
          <w:szCs w:val="22"/>
          <w:lang w:eastAsia="en-US"/>
        </w:rPr>
        <w:t xml:space="preserve"> and enhancement being lost</w:t>
      </w:r>
    </w:p>
    <w:p w14:paraId="5B9DA49D" w14:textId="77777777" w:rsidR="00B86AFA" w:rsidRDefault="00B86AFA" w:rsidP="00B86AFA">
      <w:pPr>
        <w:pStyle w:val="ListParagraph"/>
        <w:numPr>
          <w:ilvl w:val="0"/>
          <w:numId w:val="2"/>
        </w:numPr>
        <w:rPr>
          <w:rFonts w:eastAsia="Times New Roman"/>
          <w:sz w:val="22"/>
          <w:szCs w:val="22"/>
          <w:lang w:eastAsia="en-US"/>
        </w:rPr>
      </w:pPr>
      <w:r>
        <w:rPr>
          <w:rFonts w:eastAsia="Times New Roman"/>
          <w:sz w:val="22"/>
          <w:szCs w:val="22"/>
          <w:lang w:eastAsia="en-US"/>
        </w:rPr>
        <w:t>Continuous monitoring as and when data published</w:t>
      </w:r>
    </w:p>
    <w:p w14:paraId="0BFA75FB" w14:textId="77777777" w:rsidR="00B86AFA" w:rsidRDefault="00B86AFA" w:rsidP="00B86AFA">
      <w:pPr>
        <w:rPr>
          <w:sz w:val="22"/>
          <w:szCs w:val="22"/>
          <w:lang w:eastAsia="en-US"/>
        </w:rPr>
      </w:pPr>
    </w:p>
    <w:p w14:paraId="7195E507" w14:textId="77777777" w:rsidR="00675C78" w:rsidRDefault="00675C78" w:rsidP="00B86AFA">
      <w:pPr>
        <w:rPr>
          <w:b/>
          <w:bCs/>
          <w:sz w:val="24"/>
          <w:szCs w:val="24"/>
          <w:lang w:eastAsia="en-US"/>
        </w:rPr>
      </w:pPr>
    </w:p>
    <w:p w14:paraId="0E3A5EBE" w14:textId="6CDF4C0D" w:rsidR="00B86AFA" w:rsidRPr="00675C78" w:rsidRDefault="00B86AFA" w:rsidP="00B86AFA">
      <w:pPr>
        <w:rPr>
          <w:b/>
          <w:bCs/>
          <w:sz w:val="24"/>
          <w:szCs w:val="24"/>
          <w:lang w:eastAsia="en-US"/>
        </w:rPr>
      </w:pPr>
      <w:r w:rsidRPr="00675C78">
        <w:rPr>
          <w:b/>
          <w:bCs/>
          <w:sz w:val="24"/>
          <w:szCs w:val="24"/>
          <w:lang w:eastAsia="en-US"/>
        </w:rPr>
        <w:t xml:space="preserve">SIG meeting </w:t>
      </w:r>
      <w:r w:rsidR="00FC6887">
        <w:rPr>
          <w:b/>
          <w:bCs/>
          <w:sz w:val="24"/>
          <w:szCs w:val="24"/>
          <w:lang w:eastAsia="en-US"/>
        </w:rPr>
        <w:t>19</w:t>
      </w:r>
      <w:r w:rsidRPr="00675C78">
        <w:rPr>
          <w:b/>
          <w:bCs/>
          <w:sz w:val="24"/>
          <w:szCs w:val="24"/>
          <w:lang w:eastAsia="en-US"/>
        </w:rPr>
        <w:t xml:space="preserve"> January 2023</w:t>
      </w:r>
    </w:p>
    <w:p w14:paraId="7766FB4C" w14:textId="77777777" w:rsidR="0018202F" w:rsidRDefault="0018202F" w:rsidP="00B86AFA">
      <w:pPr>
        <w:rPr>
          <w:sz w:val="22"/>
          <w:szCs w:val="22"/>
          <w:lang w:eastAsia="en-US"/>
        </w:rPr>
      </w:pPr>
    </w:p>
    <w:p w14:paraId="70516647" w14:textId="4D597C36" w:rsidR="00B86AFA" w:rsidRDefault="00B86AFA" w:rsidP="00B86AFA">
      <w:pPr>
        <w:rPr>
          <w:sz w:val="22"/>
          <w:szCs w:val="22"/>
          <w:lang w:eastAsia="en-US"/>
        </w:rPr>
      </w:pPr>
      <w:r w:rsidRPr="0018202F">
        <w:rPr>
          <w:b/>
          <w:bCs/>
          <w:sz w:val="22"/>
          <w:szCs w:val="22"/>
          <w:lang w:eastAsia="en-US"/>
        </w:rPr>
        <w:t>Focus:</w:t>
      </w:r>
      <w:r>
        <w:rPr>
          <w:sz w:val="22"/>
          <w:szCs w:val="22"/>
          <w:lang w:eastAsia="en-US"/>
        </w:rPr>
        <w:t xml:space="preserve"> Monitoring</w:t>
      </w:r>
    </w:p>
    <w:p w14:paraId="1BB7DE86" w14:textId="77777777" w:rsidR="00B86AFA" w:rsidRDefault="00B86AFA" w:rsidP="00B86AFA">
      <w:pPr>
        <w:rPr>
          <w:sz w:val="22"/>
          <w:szCs w:val="22"/>
          <w:lang w:eastAsia="en-US"/>
        </w:rPr>
      </w:pPr>
    </w:p>
    <w:p w14:paraId="78F33107" w14:textId="53CC440C" w:rsidR="00B86AFA" w:rsidRDefault="00B86AFA" w:rsidP="00B86AFA">
      <w:pPr>
        <w:rPr>
          <w:sz w:val="22"/>
          <w:szCs w:val="22"/>
          <w:lang w:eastAsia="en-US"/>
        </w:rPr>
      </w:pPr>
      <w:r w:rsidRPr="0018202F">
        <w:rPr>
          <w:b/>
          <w:bCs/>
          <w:sz w:val="22"/>
          <w:szCs w:val="22"/>
          <w:lang w:eastAsia="en-US"/>
        </w:rPr>
        <w:t>Description:</w:t>
      </w:r>
      <w:r w:rsidRPr="00B86AFA">
        <w:t xml:space="preserve"> </w:t>
      </w:r>
      <w:r w:rsidRPr="00B86AFA">
        <w:rPr>
          <w:sz w:val="22"/>
          <w:szCs w:val="22"/>
          <w:lang w:eastAsia="en-US"/>
        </w:rPr>
        <w:t>Programme Monitoring and Review is the principal mechanism by which Institutions ensure the continuing standards and quality of their academic provision. This meeting focus</w:t>
      </w:r>
      <w:r w:rsidR="0018202F">
        <w:rPr>
          <w:sz w:val="22"/>
          <w:szCs w:val="22"/>
          <w:lang w:eastAsia="en-US"/>
        </w:rPr>
        <w:t>sed</w:t>
      </w:r>
      <w:r w:rsidRPr="00B86AFA">
        <w:rPr>
          <w:sz w:val="22"/>
          <w:szCs w:val="22"/>
          <w:lang w:eastAsia="en-US"/>
        </w:rPr>
        <w:t xml:space="preserve"> on how approaches to programme monitoring have been influenced by Condition B3 of the Office for Students' Regulatory Framework.</w:t>
      </w:r>
    </w:p>
    <w:p w14:paraId="5E5B6F8D" w14:textId="77777777" w:rsidR="00675C78" w:rsidRDefault="00675C78" w:rsidP="00B86AFA">
      <w:pPr>
        <w:rPr>
          <w:sz w:val="22"/>
          <w:szCs w:val="22"/>
          <w:lang w:eastAsia="en-US"/>
        </w:rPr>
      </w:pPr>
    </w:p>
    <w:p w14:paraId="55D9B34E" w14:textId="34023587" w:rsidR="00B86AFA" w:rsidRPr="00675C78" w:rsidRDefault="00675C78" w:rsidP="00B86AFA">
      <w:pPr>
        <w:rPr>
          <w:rFonts w:eastAsia="Times New Roman"/>
          <w:b/>
          <w:bCs/>
          <w:sz w:val="22"/>
          <w:szCs w:val="22"/>
          <w:highlight w:val="yellow"/>
          <w:lang w:eastAsia="en-US"/>
        </w:rPr>
      </w:pPr>
      <w:r w:rsidRPr="00675C78">
        <w:rPr>
          <w:rFonts w:eastAsia="Times New Roman"/>
          <w:b/>
          <w:bCs/>
          <w:sz w:val="22"/>
          <w:szCs w:val="22"/>
          <w:lang w:eastAsia="en-US"/>
        </w:rPr>
        <w:t>Slide decks:</w:t>
      </w:r>
    </w:p>
    <w:p w14:paraId="212EE9DF" w14:textId="4056FEC3" w:rsidR="00B86AFA" w:rsidRDefault="00675C78" w:rsidP="00B86AFA">
      <w:pPr>
        <w:rPr>
          <w:rFonts w:eastAsia="Times New Roman"/>
          <w:sz w:val="22"/>
          <w:szCs w:val="22"/>
          <w:lang w:eastAsia="en-US"/>
        </w:rPr>
      </w:pPr>
      <w:r w:rsidRPr="00675C78">
        <w:rPr>
          <w:rFonts w:eastAsia="Times New Roman"/>
          <w:sz w:val="22"/>
          <w:szCs w:val="22"/>
          <w:lang w:eastAsia="en-US"/>
        </w:rPr>
        <w:object w:dxaOrig="1544" w:dyaOrig="998" w14:anchorId="53563CC1">
          <v:shape id="_x0000_i1026" type="#_x0000_t75" style="width:77.25pt;height:50.25pt" o:ole="">
            <v:imagedata r:id="rId7" o:title=""/>
          </v:shape>
          <o:OLEObject Type="Embed" ProgID="PowerPoint.Show.12" ShapeID="_x0000_i1026" DrawAspect="Icon" ObjectID="_1738998367" r:id="rId8"/>
        </w:object>
      </w:r>
      <w:r>
        <w:rPr>
          <w:rFonts w:eastAsia="Times New Roman"/>
          <w:sz w:val="22"/>
          <w:szCs w:val="22"/>
          <w:lang w:eastAsia="en-US"/>
        </w:rPr>
        <w:object w:dxaOrig="1544" w:dyaOrig="998" w14:anchorId="2EE450D5">
          <v:shape id="_x0000_i1027" type="#_x0000_t75" style="width:77.25pt;height:50.25pt" o:ole="">
            <v:imagedata r:id="rId9" o:title=""/>
          </v:shape>
          <o:OLEObject Type="Embed" ProgID="PowerPoint.Show.12" ShapeID="_x0000_i1027" DrawAspect="Icon" ObjectID="_1738998368" r:id="rId10"/>
        </w:object>
      </w:r>
      <w:r>
        <w:rPr>
          <w:rFonts w:eastAsia="Times New Roman"/>
          <w:sz w:val="22"/>
          <w:szCs w:val="22"/>
          <w:lang w:eastAsia="en-US"/>
        </w:rPr>
        <w:object w:dxaOrig="1544" w:dyaOrig="998" w14:anchorId="64784FFC">
          <v:shape id="_x0000_i1028" type="#_x0000_t75" style="width:77.25pt;height:50.25pt" o:ole="">
            <v:imagedata r:id="rId11" o:title=""/>
          </v:shape>
          <o:OLEObject Type="Embed" ProgID="PowerPoint.Show.12" ShapeID="_x0000_i1028" DrawAspect="Icon" ObjectID="_1738998369" r:id="rId12"/>
        </w:object>
      </w:r>
    </w:p>
    <w:p w14:paraId="58C109A2" w14:textId="77777777" w:rsidR="00675C78" w:rsidRDefault="00675C78" w:rsidP="007859EA">
      <w:pPr>
        <w:rPr>
          <w:rFonts w:eastAsia="Times New Roman"/>
          <w:b/>
          <w:bCs/>
          <w:sz w:val="22"/>
          <w:szCs w:val="22"/>
          <w:lang w:eastAsia="en-US"/>
        </w:rPr>
      </w:pPr>
    </w:p>
    <w:p w14:paraId="069AEBC5" w14:textId="6174CBF3" w:rsidR="007859EA" w:rsidRDefault="00B86AFA" w:rsidP="007859EA">
      <w:pPr>
        <w:rPr>
          <w:rFonts w:eastAsia="Times New Roman"/>
          <w:sz w:val="22"/>
          <w:szCs w:val="22"/>
          <w:lang w:eastAsia="en-US"/>
        </w:rPr>
      </w:pPr>
      <w:r w:rsidRPr="007859EA">
        <w:rPr>
          <w:rFonts w:eastAsia="Times New Roman"/>
          <w:b/>
          <w:bCs/>
          <w:sz w:val="22"/>
          <w:szCs w:val="22"/>
          <w:lang w:eastAsia="en-US"/>
        </w:rPr>
        <w:t>Presenters and Titles:</w:t>
      </w:r>
      <w:r w:rsidR="007859EA">
        <w:rPr>
          <w:rFonts w:eastAsia="Times New Roman"/>
          <w:sz w:val="22"/>
          <w:szCs w:val="22"/>
          <w:lang w:eastAsia="en-US"/>
        </w:rPr>
        <w:t xml:space="preserve"> </w:t>
      </w:r>
    </w:p>
    <w:p w14:paraId="22E58532" w14:textId="77777777" w:rsidR="007859EA" w:rsidRDefault="007859EA" w:rsidP="007859EA">
      <w:pPr>
        <w:rPr>
          <w:rFonts w:eastAsia="Times New Roman"/>
          <w:sz w:val="22"/>
          <w:szCs w:val="22"/>
          <w:lang w:eastAsia="en-US"/>
        </w:rPr>
      </w:pPr>
    </w:p>
    <w:p w14:paraId="2A276FE2" w14:textId="00539E1E" w:rsidR="007859EA" w:rsidRDefault="007859EA" w:rsidP="007859EA">
      <w:pPr>
        <w:rPr>
          <w:rFonts w:eastAsia="Times New Roman"/>
          <w:sz w:val="22"/>
          <w:szCs w:val="22"/>
          <w:lang w:eastAsia="en-US"/>
        </w:rPr>
      </w:pPr>
      <w:r w:rsidRPr="00705441">
        <w:rPr>
          <w:rFonts w:eastAsia="Times New Roman"/>
          <w:sz w:val="22"/>
          <w:szCs w:val="22"/>
          <w:u w:val="single"/>
          <w:lang w:eastAsia="en-US"/>
        </w:rPr>
        <w:t>Phil Berry and Ruth Wood.</w:t>
      </w:r>
      <w:r w:rsidRPr="007859EA">
        <w:rPr>
          <w:rFonts w:eastAsia="Times New Roman"/>
          <w:sz w:val="22"/>
          <w:szCs w:val="22"/>
          <w:lang w:eastAsia="en-US"/>
        </w:rPr>
        <w:t xml:space="preserve"> Their session </w:t>
      </w:r>
      <w:r>
        <w:rPr>
          <w:rFonts w:eastAsia="Times New Roman"/>
          <w:sz w:val="22"/>
          <w:szCs w:val="22"/>
          <w:lang w:eastAsia="en-US"/>
        </w:rPr>
        <w:t>focussed</w:t>
      </w:r>
      <w:r w:rsidRPr="007859EA">
        <w:rPr>
          <w:rFonts w:eastAsia="Times New Roman"/>
          <w:sz w:val="22"/>
          <w:szCs w:val="22"/>
          <w:lang w:eastAsia="en-US"/>
        </w:rPr>
        <w:t xml:space="preserve"> on Middlesex University’s move away from an annual process of course oversight to a data-driven and continuous system capable of responding to </w:t>
      </w:r>
      <w:proofErr w:type="spellStart"/>
      <w:r w:rsidRPr="007859EA">
        <w:rPr>
          <w:rFonts w:eastAsia="Times New Roman"/>
          <w:sz w:val="22"/>
          <w:szCs w:val="22"/>
          <w:lang w:eastAsia="en-US"/>
        </w:rPr>
        <w:t>OfS</w:t>
      </w:r>
      <w:proofErr w:type="spellEnd"/>
      <w:r w:rsidRPr="007859EA">
        <w:rPr>
          <w:rFonts w:eastAsia="Times New Roman"/>
          <w:sz w:val="22"/>
          <w:szCs w:val="22"/>
          <w:lang w:eastAsia="en-US"/>
        </w:rPr>
        <w:t xml:space="preserve"> requirements for quality and standards</w:t>
      </w:r>
      <w:r>
        <w:rPr>
          <w:rFonts w:eastAsia="Times New Roman"/>
          <w:sz w:val="22"/>
          <w:szCs w:val="22"/>
          <w:lang w:eastAsia="en-US"/>
        </w:rPr>
        <w:t xml:space="preserve">. </w:t>
      </w:r>
    </w:p>
    <w:p w14:paraId="6D5FBDB5" w14:textId="77777777" w:rsidR="007859EA" w:rsidRDefault="007859EA" w:rsidP="007859EA">
      <w:pPr>
        <w:rPr>
          <w:rFonts w:eastAsia="Times New Roman"/>
          <w:sz w:val="22"/>
          <w:szCs w:val="22"/>
          <w:lang w:eastAsia="en-US"/>
        </w:rPr>
      </w:pPr>
    </w:p>
    <w:p w14:paraId="6898C787" w14:textId="77777777" w:rsidR="007859EA" w:rsidRPr="00705441" w:rsidRDefault="007859EA" w:rsidP="007859EA">
      <w:pPr>
        <w:pStyle w:val="NoSpacing"/>
        <w:rPr>
          <w:rFonts w:asciiTheme="minorHAnsi" w:hAnsiTheme="minorHAnsi" w:cstheme="minorHAnsi"/>
          <w:b/>
          <w:bCs/>
          <w:sz w:val="22"/>
        </w:rPr>
      </w:pPr>
      <w:bookmarkStart w:id="0" w:name="_Hlk126938236"/>
      <w:r w:rsidRPr="00705441">
        <w:rPr>
          <w:rFonts w:asciiTheme="minorHAnsi" w:hAnsiTheme="minorHAnsi" w:cstheme="minorHAnsi"/>
          <w:b/>
          <w:bCs/>
          <w:sz w:val="22"/>
        </w:rPr>
        <w:t>Key Points</w:t>
      </w:r>
      <w:r w:rsidRPr="00705441">
        <w:rPr>
          <w:b/>
          <w:bCs/>
        </w:rPr>
        <w:t>:</w:t>
      </w:r>
    </w:p>
    <w:bookmarkEnd w:id="0"/>
    <w:p w14:paraId="7EBCF4A0" w14:textId="71D087C9" w:rsidR="007859EA" w:rsidRPr="007859EA" w:rsidRDefault="007859EA" w:rsidP="00AB4E0B">
      <w:pPr>
        <w:pStyle w:val="ListParagraph"/>
        <w:numPr>
          <w:ilvl w:val="0"/>
          <w:numId w:val="1"/>
        </w:numPr>
        <w:rPr>
          <w:rFonts w:eastAsia="Times New Roman"/>
          <w:sz w:val="22"/>
          <w:szCs w:val="22"/>
          <w:lang w:eastAsia="en-US"/>
        </w:rPr>
      </w:pPr>
      <w:r w:rsidRPr="007859EA">
        <w:rPr>
          <w:sz w:val="22"/>
          <w:szCs w:val="22"/>
          <w:lang w:eastAsia="en-US"/>
        </w:rPr>
        <w:t>Year-round planning and enhancement owned by departments</w:t>
      </w:r>
    </w:p>
    <w:p w14:paraId="67F63097" w14:textId="464EACF9" w:rsidR="007859EA" w:rsidRPr="007859EA" w:rsidRDefault="007859EA" w:rsidP="00AB4E0B">
      <w:pPr>
        <w:pStyle w:val="ListParagraph"/>
        <w:numPr>
          <w:ilvl w:val="0"/>
          <w:numId w:val="1"/>
        </w:numPr>
        <w:rPr>
          <w:rFonts w:eastAsia="Times New Roman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Outcomes fed into other planning activities</w:t>
      </w:r>
    </w:p>
    <w:p w14:paraId="534EA565" w14:textId="5F97124D" w:rsidR="007859EA" w:rsidRDefault="007859EA" w:rsidP="00AB4E0B">
      <w:pPr>
        <w:pStyle w:val="ListParagraph"/>
        <w:numPr>
          <w:ilvl w:val="0"/>
          <w:numId w:val="1"/>
        </w:numPr>
        <w:rPr>
          <w:rFonts w:eastAsia="Times New Roman"/>
          <w:sz w:val="22"/>
          <w:szCs w:val="22"/>
          <w:lang w:eastAsia="en-US"/>
        </w:rPr>
      </w:pPr>
      <w:r>
        <w:rPr>
          <w:rFonts w:eastAsia="Times New Roman"/>
          <w:sz w:val="22"/>
          <w:szCs w:val="22"/>
          <w:lang w:eastAsia="en-US"/>
        </w:rPr>
        <w:t>Longitudinal approach to reviewing data</w:t>
      </w:r>
    </w:p>
    <w:p w14:paraId="41A5F441" w14:textId="2A77E5CD" w:rsidR="007859EA" w:rsidRDefault="007859EA" w:rsidP="00AB4E0B">
      <w:pPr>
        <w:pStyle w:val="ListParagraph"/>
        <w:numPr>
          <w:ilvl w:val="0"/>
          <w:numId w:val="1"/>
        </w:numPr>
        <w:rPr>
          <w:rFonts w:eastAsia="Times New Roman"/>
          <w:sz w:val="22"/>
          <w:szCs w:val="22"/>
          <w:lang w:eastAsia="en-US"/>
        </w:rPr>
      </w:pPr>
      <w:r>
        <w:rPr>
          <w:rFonts w:eastAsia="Times New Roman"/>
          <w:sz w:val="22"/>
          <w:szCs w:val="22"/>
          <w:lang w:eastAsia="en-US"/>
        </w:rPr>
        <w:t>Risk-based (notion of radical simplicity)</w:t>
      </w:r>
    </w:p>
    <w:p w14:paraId="54B7A6D7" w14:textId="0E504C19" w:rsidR="007859EA" w:rsidRDefault="007859EA" w:rsidP="00AB4E0B">
      <w:pPr>
        <w:pStyle w:val="ListParagraph"/>
        <w:numPr>
          <w:ilvl w:val="0"/>
          <w:numId w:val="1"/>
        </w:numPr>
        <w:rPr>
          <w:rFonts w:eastAsia="Times New Roman"/>
          <w:sz w:val="22"/>
          <w:szCs w:val="22"/>
          <w:lang w:eastAsia="en-US"/>
        </w:rPr>
      </w:pPr>
      <w:r>
        <w:rPr>
          <w:rFonts w:eastAsia="Times New Roman"/>
          <w:sz w:val="22"/>
          <w:szCs w:val="22"/>
          <w:lang w:eastAsia="en-US"/>
        </w:rPr>
        <w:t>Easily adaptable and more responsive</w:t>
      </w:r>
    </w:p>
    <w:p w14:paraId="009295A3" w14:textId="38763CE6" w:rsidR="007859EA" w:rsidRDefault="007859EA" w:rsidP="00AB4E0B">
      <w:pPr>
        <w:pStyle w:val="ListParagraph"/>
        <w:numPr>
          <w:ilvl w:val="0"/>
          <w:numId w:val="1"/>
        </w:numPr>
        <w:rPr>
          <w:rFonts w:eastAsia="Times New Roman"/>
          <w:sz w:val="22"/>
          <w:szCs w:val="22"/>
          <w:lang w:eastAsia="en-US"/>
        </w:rPr>
      </w:pPr>
      <w:r>
        <w:rPr>
          <w:rFonts w:eastAsia="Times New Roman"/>
          <w:sz w:val="22"/>
          <w:szCs w:val="22"/>
          <w:lang w:eastAsia="en-US"/>
        </w:rPr>
        <w:lastRenderedPageBreak/>
        <w:t>Technology enabled and linked to KPIs and external metrics</w:t>
      </w:r>
    </w:p>
    <w:p w14:paraId="2B0B1D78" w14:textId="6D22DFCD" w:rsidR="00705441" w:rsidRDefault="00705441" w:rsidP="00AB4E0B">
      <w:pPr>
        <w:pStyle w:val="ListParagraph"/>
        <w:numPr>
          <w:ilvl w:val="0"/>
          <w:numId w:val="1"/>
        </w:numPr>
        <w:rPr>
          <w:rFonts w:eastAsia="Times New Roman"/>
          <w:sz w:val="22"/>
          <w:szCs w:val="22"/>
          <w:lang w:eastAsia="en-US"/>
        </w:rPr>
      </w:pPr>
      <w:r>
        <w:rPr>
          <w:rFonts w:eastAsia="Times New Roman"/>
          <w:sz w:val="22"/>
          <w:szCs w:val="22"/>
          <w:lang w:eastAsia="en-US"/>
        </w:rPr>
        <w:t>Live data – no snap shots off Tableau</w:t>
      </w:r>
    </w:p>
    <w:p w14:paraId="72847C07" w14:textId="3EA7C60A" w:rsidR="007859EA" w:rsidRPr="007859EA" w:rsidRDefault="00705441" w:rsidP="00AB4E0B">
      <w:pPr>
        <w:pStyle w:val="ListParagraph"/>
        <w:numPr>
          <w:ilvl w:val="0"/>
          <w:numId w:val="1"/>
        </w:numPr>
        <w:rPr>
          <w:rFonts w:eastAsia="Times New Roman"/>
          <w:sz w:val="22"/>
          <w:szCs w:val="22"/>
          <w:lang w:eastAsia="en-US"/>
        </w:rPr>
      </w:pPr>
      <w:r>
        <w:rPr>
          <w:rFonts w:eastAsia="Times New Roman"/>
          <w:sz w:val="22"/>
          <w:szCs w:val="22"/>
          <w:lang w:eastAsia="en-US"/>
        </w:rPr>
        <w:t>Central QA team only focus on those areas deemed at most risk – intervention meetings</w:t>
      </w:r>
    </w:p>
    <w:p w14:paraId="7812AF66" w14:textId="60F83B02" w:rsidR="007859EA" w:rsidRDefault="00705441" w:rsidP="00AB4E0B">
      <w:pPr>
        <w:pStyle w:val="ListParagraph"/>
        <w:numPr>
          <w:ilvl w:val="0"/>
          <w:numId w:val="1"/>
        </w:numPr>
        <w:rPr>
          <w:rFonts w:eastAsia="Times New Roman"/>
          <w:sz w:val="22"/>
          <w:szCs w:val="22"/>
          <w:lang w:eastAsia="en-US"/>
        </w:rPr>
      </w:pPr>
      <w:r>
        <w:rPr>
          <w:rFonts w:eastAsia="Times New Roman"/>
          <w:sz w:val="22"/>
          <w:szCs w:val="22"/>
          <w:lang w:eastAsia="en-US"/>
        </w:rPr>
        <w:t>Intranet page launched to aid engagement</w:t>
      </w:r>
    </w:p>
    <w:p w14:paraId="2DFCB76F" w14:textId="45654E5D" w:rsidR="00705441" w:rsidRDefault="00705441" w:rsidP="00AB4E0B">
      <w:pPr>
        <w:pStyle w:val="ListParagraph"/>
        <w:numPr>
          <w:ilvl w:val="0"/>
          <w:numId w:val="1"/>
        </w:numPr>
        <w:rPr>
          <w:rFonts w:eastAsia="Times New Roman"/>
          <w:sz w:val="22"/>
          <w:szCs w:val="22"/>
          <w:lang w:eastAsia="en-US"/>
        </w:rPr>
      </w:pPr>
      <w:r>
        <w:rPr>
          <w:rFonts w:eastAsia="Times New Roman"/>
          <w:sz w:val="22"/>
          <w:szCs w:val="22"/>
          <w:lang w:eastAsia="en-US"/>
        </w:rPr>
        <w:t>Removed multiple action plans.</w:t>
      </w:r>
    </w:p>
    <w:p w14:paraId="5A7C32BB" w14:textId="7590E85A" w:rsidR="00705441" w:rsidRDefault="00705441" w:rsidP="00AB4E0B">
      <w:pPr>
        <w:pStyle w:val="ListParagraph"/>
        <w:numPr>
          <w:ilvl w:val="0"/>
          <w:numId w:val="1"/>
        </w:numPr>
        <w:rPr>
          <w:rFonts w:eastAsia="Times New Roman"/>
          <w:sz w:val="22"/>
          <w:szCs w:val="22"/>
          <w:lang w:eastAsia="en-US"/>
        </w:rPr>
      </w:pPr>
      <w:r>
        <w:rPr>
          <w:rFonts w:eastAsia="Times New Roman"/>
          <w:sz w:val="22"/>
          <w:szCs w:val="22"/>
          <w:lang w:eastAsia="en-US"/>
        </w:rPr>
        <w:t>Future: lead to the removal of review and revalidation of programmes</w:t>
      </w:r>
    </w:p>
    <w:p w14:paraId="532EB1DD" w14:textId="77777777" w:rsidR="00705441" w:rsidRPr="007859EA" w:rsidRDefault="00705441" w:rsidP="00705441">
      <w:pPr>
        <w:pStyle w:val="ListParagraph"/>
        <w:rPr>
          <w:rFonts w:eastAsia="Times New Roman"/>
          <w:sz w:val="22"/>
          <w:szCs w:val="22"/>
          <w:lang w:eastAsia="en-US"/>
        </w:rPr>
      </w:pPr>
    </w:p>
    <w:p w14:paraId="28AAC31B" w14:textId="77777777" w:rsidR="00705441" w:rsidRDefault="007859EA" w:rsidP="007859EA">
      <w:pPr>
        <w:rPr>
          <w:rFonts w:eastAsia="Times New Roman"/>
          <w:sz w:val="22"/>
          <w:szCs w:val="22"/>
          <w:lang w:eastAsia="en-US"/>
        </w:rPr>
      </w:pPr>
      <w:r w:rsidRPr="00705441">
        <w:rPr>
          <w:rFonts w:eastAsia="Times New Roman"/>
          <w:sz w:val="22"/>
          <w:szCs w:val="22"/>
          <w:u w:val="single"/>
          <w:lang w:eastAsia="en-US"/>
        </w:rPr>
        <w:t>Tori McKay</w:t>
      </w:r>
      <w:r w:rsidRPr="007859EA">
        <w:rPr>
          <w:rFonts w:eastAsia="Times New Roman"/>
          <w:sz w:val="22"/>
          <w:szCs w:val="22"/>
          <w:lang w:eastAsia="en-US"/>
        </w:rPr>
        <w:t xml:space="preserve"> introduce</w:t>
      </w:r>
      <w:r>
        <w:rPr>
          <w:rFonts w:eastAsia="Times New Roman"/>
          <w:sz w:val="22"/>
          <w:szCs w:val="22"/>
          <w:lang w:eastAsia="en-US"/>
        </w:rPr>
        <w:t>d</w:t>
      </w:r>
      <w:r w:rsidRPr="007859EA">
        <w:rPr>
          <w:rFonts w:eastAsia="Times New Roman"/>
          <w:sz w:val="22"/>
          <w:szCs w:val="22"/>
          <w:lang w:eastAsia="en-US"/>
        </w:rPr>
        <w:t xml:space="preserve"> the University of Bradford’s newly approved Academic Portfolio Lifecycle, a risk-based model of curriculum design, development and monitoring which aim</w:t>
      </w:r>
      <w:r>
        <w:rPr>
          <w:rFonts w:eastAsia="Times New Roman"/>
          <w:sz w:val="22"/>
          <w:szCs w:val="22"/>
          <w:lang w:eastAsia="en-US"/>
        </w:rPr>
        <w:t>ed</w:t>
      </w:r>
      <w:r w:rsidRPr="007859EA">
        <w:rPr>
          <w:rFonts w:eastAsia="Times New Roman"/>
          <w:sz w:val="22"/>
          <w:szCs w:val="22"/>
          <w:lang w:eastAsia="en-US"/>
        </w:rPr>
        <w:t xml:space="preserve"> to provide greater and clearer oversight of its taught academic provision, from initial development through to quality steady-state delivery and, where appropriate, to withdrawal and teach out.</w:t>
      </w:r>
      <w:r>
        <w:rPr>
          <w:rFonts w:eastAsia="Times New Roman"/>
          <w:sz w:val="22"/>
          <w:szCs w:val="22"/>
          <w:lang w:eastAsia="en-US"/>
        </w:rPr>
        <w:t xml:space="preserve"> </w:t>
      </w:r>
    </w:p>
    <w:p w14:paraId="6A3238F2" w14:textId="77777777" w:rsidR="00705441" w:rsidRDefault="00705441" w:rsidP="007859EA">
      <w:pPr>
        <w:rPr>
          <w:rFonts w:eastAsia="Times New Roman"/>
          <w:sz w:val="22"/>
          <w:szCs w:val="22"/>
          <w:lang w:eastAsia="en-US"/>
        </w:rPr>
      </w:pPr>
    </w:p>
    <w:p w14:paraId="08ACBE62" w14:textId="3DCEE12F" w:rsidR="00705441" w:rsidRDefault="00705441" w:rsidP="00705441">
      <w:pPr>
        <w:pStyle w:val="NoSpacing"/>
        <w:rPr>
          <w:b/>
          <w:bCs/>
        </w:rPr>
      </w:pPr>
      <w:r w:rsidRPr="00705441">
        <w:rPr>
          <w:rFonts w:asciiTheme="minorHAnsi" w:hAnsiTheme="minorHAnsi" w:cstheme="minorHAnsi"/>
          <w:b/>
          <w:bCs/>
          <w:sz w:val="22"/>
        </w:rPr>
        <w:t>Key Points</w:t>
      </w:r>
      <w:r w:rsidRPr="00705441">
        <w:rPr>
          <w:b/>
          <w:bCs/>
        </w:rPr>
        <w:t>:</w:t>
      </w:r>
    </w:p>
    <w:p w14:paraId="36FA5EF7" w14:textId="77777777" w:rsidR="00705441" w:rsidRPr="00705441" w:rsidRDefault="00705441" w:rsidP="00705441">
      <w:pPr>
        <w:pStyle w:val="NoSpacing"/>
        <w:numPr>
          <w:ilvl w:val="0"/>
          <w:numId w:val="5"/>
        </w:numPr>
        <w:rPr>
          <w:b/>
          <w:bCs/>
        </w:rPr>
      </w:pPr>
      <w:r>
        <w:rPr>
          <w:rFonts w:asciiTheme="minorHAnsi" w:hAnsiTheme="minorHAnsi" w:cstheme="minorHAnsi"/>
          <w:sz w:val="22"/>
        </w:rPr>
        <w:t>Channelling resources to areas of most need</w:t>
      </w:r>
    </w:p>
    <w:p w14:paraId="44A19840" w14:textId="04086D96" w:rsidR="00705441" w:rsidRPr="00705441" w:rsidRDefault="00705441" w:rsidP="00705441">
      <w:pPr>
        <w:pStyle w:val="NoSpacing"/>
        <w:numPr>
          <w:ilvl w:val="0"/>
          <w:numId w:val="5"/>
        </w:numPr>
        <w:rPr>
          <w:b/>
          <w:bCs/>
        </w:rPr>
      </w:pPr>
      <w:r>
        <w:rPr>
          <w:rFonts w:asciiTheme="minorHAnsi" w:hAnsiTheme="minorHAnsi" w:cstheme="minorHAnsi"/>
          <w:sz w:val="22"/>
        </w:rPr>
        <w:t xml:space="preserve">Draws on baselines provided by </w:t>
      </w:r>
      <w:proofErr w:type="spellStart"/>
      <w:r>
        <w:rPr>
          <w:rFonts w:asciiTheme="minorHAnsi" w:hAnsiTheme="minorHAnsi" w:cstheme="minorHAnsi"/>
          <w:sz w:val="22"/>
        </w:rPr>
        <w:t>OfS</w:t>
      </w:r>
      <w:proofErr w:type="spellEnd"/>
      <w:r>
        <w:rPr>
          <w:rFonts w:asciiTheme="minorHAnsi" w:hAnsiTheme="minorHAnsi" w:cstheme="minorHAnsi"/>
          <w:sz w:val="22"/>
        </w:rPr>
        <w:t>. May use stretch targets in future</w:t>
      </w:r>
    </w:p>
    <w:p w14:paraId="692E0D1F" w14:textId="26EEEF77" w:rsidR="00705441" w:rsidRDefault="00705441" w:rsidP="00705441">
      <w:pPr>
        <w:pStyle w:val="NoSpacing"/>
        <w:numPr>
          <w:ilvl w:val="0"/>
          <w:numId w:val="5"/>
        </w:numPr>
        <w:rPr>
          <w:rFonts w:asciiTheme="minorHAnsi" w:hAnsiTheme="minorHAnsi" w:cstheme="minorHAnsi"/>
          <w:sz w:val="22"/>
        </w:rPr>
      </w:pPr>
      <w:r w:rsidRPr="00705441">
        <w:rPr>
          <w:rFonts w:asciiTheme="minorHAnsi" w:hAnsiTheme="minorHAnsi" w:cstheme="minorHAnsi"/>
          <w:sz w:val="22"/>
        </w:rPr>
        <w:t>Multiple gateways</w:t>
      </w:r>
      <w:r>
        <w:rPr>
          <w:rFonts w:asciiTheme="minorHAnsi" w:hAnsiTheme="minorHAnsi" w:cstheme="minorHAnsi"/>
          <w:sz w:val="22"/>
        </w:rPr>
        <w:t xml:space="preserve"> channel activities from design through to approval and monitoring. </w:t>
      </w:r>
    </w:p>
    <w:p w14:paraId="37656A8B" w14:textId="39C6BB92" w:rsidR="00705441" w:rsidRDefault="00705441" w:rsidP="00705441">
      <w:pPr>
        <w:pStyle w:val="NoSpacing"/>
        <w:numPr>
          <w:ilvl w:val="0"/>
          <w:numId w:val="5"/>
        </w:numPr>
        <w:rPr>
          <w:rFonts w:asciiTheme="minorHAnsi" w:hAnsiTheme="minorHAnsi" w:cstheme="minorHAnsi"/>
          <w:sz w:val="22"/>
        </w:rPr>
      </w:pPr>
      <w:r>
        <w:rPr>
          <w:rFonts w:asciiTheme="minorHAnsi" w:hAnsiTheme="minorHAnsi" w:cstheme="minorHAnsi"/>
          <w:sz w:val="22"/>
        </w:rPr>
        <w:t>Includes financial assessment (formally allocation of resources for approval and delivery)</w:t>
      </w:r>
      <w:r w:rsidR="00DC3329">
        <w:rPr>
          <w:rFonts w:asciiTheme="minorHAnsi" w:hAnsiTheme="minorHAnsi" w:cstheme="minorHAnsi"/>
          <w:sz w:val="22"/>
        </w:rPr>
        <w:t>. Currently working on a financial typology model.</w:t>
      </w:r>
    </w:p>
    <w:p w14:paraId="533A98EB" w14:textId="7ABEBCA6" w:rsidR="00705441" w:rsidRDefault="00705441" w:rsidP="00705441">
      <w:pPr>
        <w:pStyle w:val="NoSpacing"/>
        <w:numPr>
          <w:ilvl w:val="0"/>
          <w:numId w:val="5"/>
        </w:numPr>
        <w:rPr>
          <w:rFonts w:asciiTheme="minorHAnsi" w:hAnsiTheme="minorHAnsi" w:cstheme="minorHAnsi"/>
          <w:sz w:val="22"/>
        </w:rPr>
      </w:pPr>
      <w:r>
        <w:rPr>
          <w:rFonts w:asciiTheme="minorHAnsi" w:hAnsiTheme="minorHAnsi" w:cstheme="minorHAnsi"/>
          <w:sz w:val="22"/>
        </w:rPr>
        <w:t>New programmes undergo a ‘readiness for delivery check’ prior to first implementation</w:t>
      </w:r>
      <w:r w:rsidR="00DC3329">
        <w:rPr>
          <w:rFonts w:asciiTheme="minorHAnsi" w:hAnsiTheme="minorHAnsi" w:cstheme="minorHAnsi"/>
          <w:sz w:val="22"/>
        </w:rPr>
        <w:t>.</w:t>
      </w:r>
    </w:p>
    <w:p w14:paraId="025833B4" w14:textId="4332EEC6" w:rsidR="00DC3329" w:rsidRDefault="00DC3329" w:rsidP="00705441">
      <w:pPr>
        <w:pStyle w:val="NoSpacing"/>
        <w:numPr>
          <w:ilvl w:val="0"/>
          <w:numId w:val="5"/>
        </w:numPr>
        <w:rPr>
          <w:rFonts w:asciiTheme="minorHAnsi" w:hAnsiTheme="minorHAnsi" w:cstheme="minorHAnsi"/>
          <w:sz w:val="22"/>
        </w:rPr>
      </w:pPr>
      <w:r>
        <w:rPr>
          <w:rFonts w:asciiTheme="minorHAnsi" w:hAnsiTheme="minorHAnsi" w:cstheme="minorHAnsi"/>
          <w:sz w:val="22"/>
        </w:rPr>
        <w:t>Enhanced monitoring in place for new programmes until first graduation point.</w:t>
      </w:r>
    </w:p>
    <w:p w14:paraId="4AD69416" w14:textId="2CFCFD4B" w:rsidR="00DC3329" w:rsidRDefault="00DC3329" w:rsidP="00705441">
      <w:pPr>
        <w:pStyle w:val="NoSpacing"/>
        <w:numPr>
          <w:ilvl w:val="0"/>
          <w:numId w:val="5"/>
        </w:numPr>
        <w:rPr>
          <w:rFonts w:asciiTheme="minorHAnsi" w:hAnsiTheme="minorHAnsi" w:cstheme="minorHAnsi"/>
          <w:sz w:val="22"/>
        </w:rPr>
      </w:pPr>
      <w:r>
        <w:rPr>
          <w:rFonts w:asciiTheme="minorHAnsi" w:hAnsiTheme="minorHAnsi" w:cstheme="minorHAnsi"/>
          <w:sz w:val="22"/>
        </w:rPr>
        <w:t>Steady state monitoring - risk-based and enhancement focussed.</w:t>
      </w:r>
    </w:p>
    <w:p w14:paraId="25F9C608" w14:textId="07DE9012" w:rsidR="00DC3329" w:rsidRDefault="00DC3329" w:rsidP="00705441">
      <w:pPr>
        <w:pStyle w:val="NoSpacing"/>
        <w:numPr>
          <w:ilvl w:val="0"/>
          <w:numId w:val="5"/>
        </w:numPr>
        <w:rPr>
          <w:rFonts w:asciiTheme="minorHAnsi" w:hAnsiTheme="minorHAnsi" w:cstheme="minorHAnsi"/>
          <w:sz w:val="22"/>
        </w:rPr>
      </w:pPr>
      <w:r>
        <w:rPr>
          <w:rFonts w:asciiTheme="minorHAnsi" w:hAnsiTheme="minorHAnsi" w:cstheme="minorHAnsi"/>
          <w:sz w:val="22"/>
        </w:rPr>
        <w:t>Faculty portfolio monitoring group</w:t>
      </w:r>
    </w:p>
    <w:p w14:paraId="0049B412" w14:textId="1816B605" w:rsidR="00DC3329" w:rsidRDefault="00DC3329" w:rsidP="00705441">
      <w:pPr>
        <w:pStyle w:val="NoSpacing"/>
        <w:numPr>
          <w:ilvl w:val="0"/>
          <w:numId w:val="5"/>
        </w:numPr>
        <w:rPr>
          <w:rFonts w:asciiTheme="minorHAnsi" w:hAnsiTheme="minorHAnsi" w:cstheme="minorHAnsi"/>
          <w:sz w:val="22"/>
        </w:rPr>
      </w:pPr>
      <w:r>
        <w:rPr>
          <w:rFonts w:asciiTheme="minorHAnsi" w:hAnsiTheme="minorHAnsi" w:cstheme="minorHAnsi"/>
          <w:sz w:val="22"/>
        </w:rPr>
        <w:t>Focussed on upskilling in terms of understanding risk and data literacy</w:t>
      </w:r>
    </w:p>
    <w:p w14:paraId="3A519976" w14:textId="3C4C786B" w:rsidR="00DC3329" w:rsidRPr="00705441" w:rsidRDefault="00DC3329" w:rsidP="00705441">
      <w:pPr>
        <w:pStyle w:val="NoSpacing"/>
        <w:numPr>
          <w:ilvl w:val="0"/>
          <w:numId w:val="5"/>
        </w:numPr>
        <w:rPr>
          <w:rFonts w:asciiTheme="minorHAnsi" w:hAnsiTheme="minorHAnsi" w:cstheme="minorHAnsi"/>
          <w:sz w:val="22"/>
        </w:rPr>
      </w:pPr>
      <w:r>
        <w:rPr>
          <w:rFonts w:asciiTheme="minorHAnsi" w:hAnsiTheme="minorHAnsi" w:cstheme="minorHAnsi"/>
          <w:sz w:val="22"/>
        </w:rPr>
        <w:t>Live score cards replace narrative monitoring reports</w:t>
      </w:r>
    </w:p>
    <w:p w14:paraId="5D18DFEB" w14:textId="77777777" w:rsidR="00705441" w:rsidRPr="00705441" w:rsidRDefault="00705441" w:rsidP="00705441">
      <w:pPr>
        <w:pStyle w:val="NoSpacing"/>
        <w:rPr>
          <w:rFonts w:asciiTheme="minorHAnsi" w:hAnsiTheme="minorHAnsi" w:cstheme="minorHAnsi"/>
          <w:b/>
          <w:bCs/>
          <w:sz w:val="22"/>
        </w:rPr>
      </w:pPr>
    </w:p>
    <w:p w14:paraId="1FCECB6F" w14:textId="08BD6B05" w:rsidR="00B86AFA" w:rsidRPr="00B86AFA" w:rsidRDefault="007859EA" w:rsidP="007859EA">
      <w:pPr>
        <w:rPr>
          <w:rFonts w:eastAsia="Times New Roman"/>
          <w:sz w:val="22"/>
          <w:szCs w:val="22"/>
          <w:lang w:eastAsia="en-US"/>
        </w:rPr>
      </w:pPr>
      <w:r w:rsidRPr="00675C78">
        <w:rPr>
          <w:rFonts w:eastAsia="Times New Roman"/>
          <w:sz w:val="22"/>
          <w:szCs w:val="22"/>
          <w:u w:val="single"/>
          <w:lang w:eastAsia="en-US"/>
        </w:rPr>
        <w:t>Ruth Hattam and Rebecca Groves</w:t>
      </w:r>
      <w:r w:rsidRPr="007859EA">
        <w:rPr>
          <w:rFonts w:eastAsia="Times New Roman"/>
          <w:sz w:val="22"/>
          <w:szCs w:val="22"/>
          <w:lang w:eastAsia="en-US"/>
        </w:rPr>
        <w:t xml:space="preserve"> provide</w:t>
      </w:r>
      <w:r>
        <w:rPr>
          <w:rFonts w:eastAsia="Times New Roman"/>
          <w:sz w:val="22"/>
          <w:szCs w:val="22"/>
          <w:lang w:eastAsia="en-US"/>
        </w:rPr>
        <w:t>d</w:t>
      </w:r>
      <w:r w:rsidRPr="007859EA">
        <w:rPr>
          <w:rFonts w:eastAsia="Times New Roman"/>
          <w:sz w:val="22"/>
          <w:szCs w:val="22"/>
          <w:lang w:eastAsia="en-US"/>
        </w:rPr>
        <w:t xml:space="preserve"> an overview of </w:t>
      </w:r>
      <w:r w:rsidR="00DC3329" w:rsidRPr="00DC3329">
        <w:rPr>
          <w:rFonts w:eastAsia="Times New Roman"/>
          <w:sz w:val="22"/>
          <w:szCs w:val="22"/>
          <w:lang w:eastAsia="en-US"/>
        </w:rPr>
        <w:t>from Northumbria University</w:t>
      </w:r>
      <w:r w:rsidR="00DC3329">
        <w:rPr>
          <w:rFonts w:eastAsia="Times New Roman"/>
          <w:sz w:val="22"/>
          <w:szCs w:val="22"/>
          <w:lang w:eastAsia="en-US"/>
        </w:rPr>
        <w:t>’s</w:t>
      </w:r>
      <w:r w:rsidR="00DC3329" w:rsidRPr="00DC3329">
        <w:rPr>
          <w:rFonts w:eastAsia="Times New Roman"/>
          <w:sz w:val="22"/>
          <w:szCs w:val="22"/>
          <w:lang w:eastAsia="en-US"/>
        </w:rPr>
        <w:t xml:space="preserve"> </w:t>
      </w:r>
      <w:r w:rsidRPr="007859EA">
        <w:rPr>
          <w:rFonts w:eastAsia="Times New Roman"/>
          <w:sz w:val="22"/>
          <w:szCs w:val="22"/>
          <w:lang w:eastAsia="en-US"/>
        </w:rPr>
        <w:t>quality and enhancement tool, Continuous Programme Perform</w:t>
      </w:r>
      <w:r w:rsidRPr="00DC3329">
        <w:rPr>
          <w:rFonts w:asciiTheme="minorHAnsi" w:eastAsia="Times New Roman" w:hAnsiTheme="minorHAnsi" w:cstheme="minorHAnsi"/>
          <w:sz w:val="22"/>
          <w:szCs w:val="22"/>
          <w:lang w:eastAsia="en-US"/>
        </w:rPr>
        <w:t>ance Review (CPPR)</w:t>
      </w:r>
      <w:r w:rsidR="00DC3329" w:rsidRPr="00DC3329">
        <w:rPr>
          <w:rFonts w:asciiTheme="minorHAnsi" w:eastAsia="Times New Roman" w:hAnsiTheme="minorHAnsi" w:cstheme="minorHAnsi"/>
          <w:color w:val="201F1E"/>
          <w:sz w:val="22"/>
          <w:szCs w:val="22"/>
          <w:bdr w:val="none" w:sz="0" w:space="0" w:color="auto" w:frame="1"/>
          <w:shd w:val="clear" w:color="auto" w:fill="FFFFFF"/>
        </w:rPr>
        <w:t xml:space="preserve"> and described their approach to reshaping Periodic Review</w:t>
      </w:r>
      <w:r w:rsidRPr="00DC3329">
        <w:rPr>
          <w:rFonts w:asciiTheme="minorHAnsi" w:eastAsia="Times New Roman" w:hAnsiTheme="minorHAnsi" w:cstheme="minorHAnsi"/>
          <w:sz w:val="22"/>
          <w:szCs w:val="22"/>
          <w:lang w:eastAsia="en-US"/>
        </w:rPr>
        <w:t>.</w:t>
      </w:r>
    </w:p>
    <w:p w14:paraId="28826076" w14:textId="6D52027B" w:rsidR="00B86AFA" w:rsidRDefault="00B86AFA" w:rsidP="00B86AFA">
      <w:pPr>
        <w:rPr>
          <w:rFonts w:asciiTheme="minorHAnsi" w:hAnsiTheme="minorHAnsi" w:cstheme="minorHAnsi"/>
          <w:sz w:val="22"/>
          <w:szCs w:val="22"/>
          <w:lang w:eastAsia="en-US"/>
        </w:rPr>
      </w:pPr>
    </w:p>
    <w:p w14:paraId="7E362A75" w14:textId="1A07E2F8" w:rsidR="00DC3329" w:rsidRPr="00DC3329" w:rsidRDefault="00DC3329" w:rsidP="00B86AFA">
      <w:pPr>
        <w:rPr>
          <w:rFonts w:asciiTheme="minorHAnsi" w:hAnsiTheme="minorHAnsi" w:cstheme="minorHAnsi"/>
          <w:b/>
          <w:bCs/>
          <w:sz w:val="22"/>
          <w:szCs w:val="22"/>
          <w:lang w:eastAsia="en-US"/>
        </w:rPr>
      </w:pPr>
      <w:r w:rsidRPr="00DC3329">
        <w:rPr>
          <w:rFonts w:asciiTheme="minorHAnsi" w:hAnsiTheme="minorHAnsi" w:cstheme="minorHAnsi"/>
          <w:b/>
          <w:bCs/>
          <w:sz w:val="22"/>
          <w:szCs w:val="22"/>
          <w:lang w:eastAsia="en-US"/>
        </w:rPr>
        <w:t>Key Points:</w:t>
      </w:r>
    </w:p>
    <w:p w14:paraId="3201AD64" w14:textId="34F4AB83" w:rsidR="007859EA" w:rsidRDefault="00DC3329">
      <w:pPr>
        <w:pStyle w:val="ListParagraph"/>
        <w:numPr>
          <w:ilvl w:val="0"/>
          <w:numId w:val="1"/>
        </w:numPr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Robust evaluation of modules and programmes in the context of external metrics</w:t>
      </w:r>
    </w:p>
    <w:p w14:paraId="67D5E51C" w14:textId="29648454" w:rsidR="00DC3329" w:rsidRDefault="00DC3329">
      <w:pPr>
        <w:pStyle w:val="ListParagraph"/>
        <w:numPr>
          <w:ilvl w:val="0"/>
          <w:numId w:val="1"/>
        </w:numPr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Three review points per year, which captures different cohorts / start dates</w:t>
      </w:r>
    </w:p>
    <w:p w14:paraId="5A3878E0" w14:textId="14A9CCB8" w:rsidR="00DC3329" w:rsidRDefault="00DC3329">
      <w:pPr>
        <w:pStyle w:val="ListParagraph"/>
        <w:numPr>
          <w:ilvl w:val="0"/>
          <w:numId w:val="1"/>
        </w:numPr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Data dashboard supported</w:t>
      </w:r>
    </w:p>
    <w:p w14:paraId="05C23046" w14:textId="680792A1" w:rsidR="00DC3329" w:rsidRDefault="00DC3329">
      <w:pPr>
        <w:pStyle w:val="ListParagraph"/>
        <w:numPr>
          <w:ilvl w:val="0"/>
          <w:numId w:val="1"/>
        </w:numPr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Data unit provides guidance documents to support academics in using and understanding the dashboard and evaluating the flags and benchmarks.</w:t>
      </w:r>
    </w:p>
    <w:p w14:paraId="46FBC1EE" w14:textId="575B076B" w:rsidR="00DC3329" w:rsidRDefault="00DC3329">
      <w:pPr>
        <w:pStyle w:val="ListParagraph"/>
        <w:numPr>
          <w:ilvl w:val="0"/>
          <w:numId w:val="1"/>
        </w:numPr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Enhancement citations are revisited to develop potential case studies for the TEF</w:t>
      </w:r>
    </w:p>
    <w:p w14:paraId="6A9017F9" w14:textId="26588D3C" w:rsidR="00DC3329" w:rsidRDefault="00DC3329">
      <w:pPr>
        <w:pStyle w:val="ListParagraph"/>
        <w:numPr>
          <w:ilvl w:val="0"/>
          <w:numId w:val="1"/>
        </w:numPr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Drop-in sessions held before each review period to academic staff reviewing their provision</w:t>
      </w:r>
    </w:p>
    <w:p w14:paraId="2E2EF656" w14:textId="05910F92" w:rsidR="00DC3329" w:rsidRDefault="00DC3329">
      <w:pPr>
        <w:pStyle w:val="ListParagraph"/>
        <w:numPr>
          <w:ilvl w:val="0"/>
          <w:numId w:val="1"/>
        </w:numPr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Dashboard provided to academics</w:t>
      </w:r>
    </w:p>
    <w:p w14:paraId="290F08CA" w14:textId="7AB70CC9" w:rsidR="00DC3329" w:rsidRPr="007859EA" w:rsidRDefault="00DC3329">
      <w:pPr>
        <w:pStyle w:val="ListParagraph"/>
        <w:numPr>
          <w:ilvl w:val="0"/>
          <w:numId w:val="1"/>
        </w:numPr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Periodic Review redesigned </w:t>
      </w:r>
      <w:proofErr w:type="gramStart"/>
      <w:r>
        <w:rPr>
          <w:sz w:val="22"/>
          <w:szCs w:val="22"/>
          <w:lang w:eastAsia="en-US"/>
        </w:rPr>
        <w:t>in light of</w:t>
      </w:r>
      <w:proofErr w:type="gramEnd"/>
      <w:r>
        <w:rPr>
          <w:sz w:val="22"/>
          <w:szCs w:val="22"/>
          <w:lang w:eastAsia="en-US"/>
        </w:rPr>
        <w:t xml:space="preserve"> CPPR</w:t>
      </w:r>
      <w:r w:rsidR="00675C78">
        <w:rPr>
          <w:sz w:val="22"/>
          <w:szCs w:val="22"/>
          <w:lang w:eastAsia="en-US"/>
        </w:rPr>
        <w:t xml:space="preserve">. Student and employer led. Focusses on contextual information and sector/community initiatives. Looks at the impact of previously cited good practice for the purposes of TEF. Check if being effectively evaluated and monitored. </w:t>
      </w:r>
    </w:p>
    <w:sectPr w:rsidR="00DC3329" w:rsidRPr="007859E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3A84F2F"/>
    <w:multiLevelType w:val="hybridMultilevel"/>
    <w:tmpl w:val="4E769654"/>
    <w:lvl w:ilvl="0" w:tplc="CDD87D52">
      <w:start w:val="12"/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C007821"/>
    <w:multiLevelType w:val="hybridMultilevel"/>
    <w:tmpl w:val="C144FCE0"/>
    <w:lvl w:ilvl="0" w:tplc="83F28402">
      <w:start w:val="12"/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5F047F8"/>
    <w:multiLevelType w:val="hybridMultilevel"/>
    <w:tmpl w:val="31B69C74"/>
    <w:lvl w:ilvl="0" w:tplc="83F28402">
      <w:start w:val="12"/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84326814">
    <w:abstractNumId w:val="2"/>
  </w:num>
  <w:num w:numId="2" w16cid:durableId="568005282">
    <w:abstractNumId w:val="0"/>
  </w:num>
  <w:num w:numId="3" w16cid:durableId="1709406472">
    <w:abstractNumId w:val="2"/>
  </w:num>
  <w:num w:numId="4" w16cid:durableId="1928417250">
    <w:abstractNumId w:val="0"/>
  </w:num>
  <w:num w:numId="5" w16cid:durableId="15580520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86AFA"/>
    <w:rsid w:val="000F3143"/>
    <w:rsid w:val="0018202F"/>
    <w:rsid w:val="00675C78"/>
    <w:rsid w:val="00705441"/>
    <w:rsid w:val="00722685"/>
    <w:rsid w:val="007859EA"/>
    <w:rsid w:val="00971F84"/>
    <w:rsid w:val="00B86AFA"/>
    <w:rsid w:val="00CF75EE"/>
    <w:rsid w:val="00DC3329"/>
    <w:rsid w:val="00FC68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."/>
  <w:listSeparator w:val=","/>
  <w14:docId w14:val="15A9F713"/>
  <w15:chartTrackingRefBased/>
  <w15:docId w15:val="{F5A16DAF-3E83-44CF-9F25-27217C111C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86AFA"/>
    <w:pPr>
      <w:spacing w:after="0" w:line="240" w:lineRule="auto"/>
    </w:pPr>
    <w:rPr>
      <w:rFonts w:ascii="Calibri" w:hAnsi="Calibri" w:cs="Calibri"/>
      <w:sz w:val="20"/>
      <w:szCs w:val="20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0F3143"/>
    <w:pPr>
      <w:spacing w:after="0" w:line="240" w:lineRule="auto"/>
    </w:pPr>
    <w:rPr>
      <w:rFonts w:ascii="Arial" w:hAnsi="Arial"/>
      <w:sz w:val="24"/>
    </w:rPr>
  </w:style>
  <w:style w:type="paragraph" w:styleId="ListParagraph">
    <w:name w:val="List Paragraph"/>
    <w:basedOn w:val="Normal"/>
    <w:uiPriority w:val="34"/>
    <w:qFormat/>
    <w:rsid w:val="00B86AFA"/>
    <w:pPr>
      <w:ind w:left="7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0967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047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PowerPoint_Presentation1.pptx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package" Target="embeddings/Microsoft_PowerPoint_Presentation3.pptx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package" Target="embeddings/Microsoft_PowerPoint_Presentation.pptx"/><Relationship Id="rId11" Type="http://schemas.openxmlformats.org/officeDocument/2006/relationships/image" Target="media/image4.emf"/><Relationship Id="rId5" Type="http://schemas.openxmlformats.org/officeDocument/2006/relationships/image" Target="media/image1.emf"/><Relationship Id="rId10" Type="http://schemas.openxmlformats.org/officeDocument/2006/relationships/package" Target="embeddings/Microsoft_PowerPoint_Presentation2.pptx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2</Pages>
  <Words>613</Words>
  <Characters>3498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Edge Hill University</Company>
  <LinksUpToDate>false</LinksUpToDate>
  <CharactersWithSpaces>4103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Kelly Hand</dc:creator>
  <cp:keywords/>
  <dc:description/>
  <cp:lastModifiedBy>Kelly Hand</cp:lastModifiedBy>
  <cp:revision>3</cp:revision>
  <dcterms:created xsi:type="dcterms:W3CDTF">2023-02-10T15:52:00Z</dcterms:created>
  <dcterms:modified xsi:type="dcterms:W3CDTF">2023-02-27T10:20:00Z</dcterms:modified>
</cp:coreProperties>
</file>