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220DB" w14:textId="77777777" w:rsidR="00E458FA" w:rsidRPr="00E458FA" w:rsidRDefault="00E458FA" w:rsidP="00A84A27">
      <w:pPr>
        <w:spacing w:after="288" w:line="240" w:lineRule="auto"/>
        <w:ind w:left="142"/>
        <w:jc w:val="both"/>
        <w:rPr>
          <w:rFonts w:eastAsia="Times New Roman" w:cs="Times New Roman"/>
          <w:szCs w:val="24"/>
        </w:rPr>
      </w:pPr>
      <w:r w:rsidRPr="00E458FA">
        <w:rPr>
          <w:rFonts w:ascii="Helvetica" w:eastAsia="Times New Roman" w:hAnsi="Helvetica" w:cs="Helvetica"/>
          <w:noProof/>
          <w:color w:val="2E6DA4"/>
          <w:szCs w:val="24"/>
          <w:lang w:eastAsia="en-GB"/>
        </w:rPr>
        <w:drawing>
          <wp:inline distT="0" distB="0" distL="0" distR="0" wp14:anchorId="18BB019D" wp14:editId="5939944A">
            <wp:extent cx="6301740" cy="606834"/>
            <wp:effectExtent l="0" t="0" r="3810" b="3175"/>
            <wp:docPr id="1" name="Picture 1" descr="Colour landscape logo low res jpeg">
              <a:hlinkClick xmlns:a="http://schemas.openxmlformats.org/drawingml/2006/main" r:id="rId8" tooltip="&quot;image-BISLogo-landscapecolour-lowres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andscape logo low res jpeg">
                      <a:hlinkClick r:id="rId8" tooltip="&quot;image-BISLogo-landscapecolour-lowresjpg&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2968" cy="606952"/>
                    </a:xfrm>
                    <a:prstGeom prst="rect">
                      <a:avLst/>
                    </a:prstGeom>
                    <a:noFill/>
                    <a:ln>
                      <a:noFill/>
                    </a:ln>
                  </pic:spPr>
                </pic:pic>
              </a:graphicData>
            </a:graphic>
          </wp:inline>
        </w:drawing>
      </w:r>
    </w:p>
    <w:p w14:paraId="4213325F" w14:textId="77777777" w:rsidR="00E458FA" w:rsidRPr="00E458FA" w:rsidRDefault="00E458FA" w:rsidP="00E458FA">
      <w:pPr>
        <w:keepNext/>
        <w:spacing w:before="120" w:after="240" w:line="240" w:lineRule="auto"/>
        <w:ind w:left="142"/>
        <w:outlineLvl w:val="1"/>
        <w:rPr>
          <w:rFonts w:eastAsia="Times New Roman" w:cs="Times New Roman"/>
          <w:b/>
          <w:bCs/>
          <w:iCs/>
          <w:color w:val="003478"/>
          <w:kern w:val="32"/>
          <w:sz w:val="32"/>
          <w:szCs w:val="28"/>
        </w:rPr>
      </w:pPr>
      <w:bookmarkStart w:id="0" w:name="_Toc434412495"/>
      <w:r w:rsidRPr="00E458FA">
        <w:rPr>
          <w:rFonts w:eastAsia="Times New Roman" w:cs="Times New Roman"/>
          <w:b/>
          <w:bCs/>
          <w:iCs/>
          <w:color w:val="003478"/>
          <w:kern w:val="32"/>
          <w:sz w:val="32"/>
          <w:szCs w:val="28"/>
        </w:rPr>
        <w:t>Fulfilling our Potential: Teaching Excellence, Social Mobility and Student Choice - Consultation</w:t>
      </w:r>
      <w:bookmarkEnd w:id="0"/>
    </w:p>
    <w:p w14:paraId="758044EB" w14:textId="77777777" w:rsidR="00E458FA" w:rsidRPr="00E458FA" w:rsidRDefault="00E458FA" w:rsidP="00E458FA">
      <w:pPr>
        <w:spacing w:after="288" w:line="240" w:lineRule="auto"/>
        <w:ind w:left="142"/>
        <w:rPr>
          <w:rFonts w:eastAsia="Times New Roman" w:cs="Times New Roman"/>
          <w:szCs w:val="24"/>
        </w:rPr>
      </w:pPr>
      <w:r w:rsidRPr="00E458FA">
        <w:rPr>
          <w:rFonts w:eastAsia="Times New Roman" w:cs="Times New Roman"/>
          <w:szCs w:val="24"/>
        </w:rPr>
        <w:t xml:space="preserve">You can reply to this consultation online at: </w:t>
      </w:r>
    </w:p>
    <w:p w14:paraId="54E0E67A" w14:textId="77777777" w:rsidR="00E458FA" w:rsidRPr="00E458FA" w:rsidRDefault="00971BC8" w:rsidP="00E458FA">
      <w:pPr>
        <w:spacing w:after="288" w:line="240" w:lineRule="auto"/>
        <w:ind w:left="142"/>
        <w:rPr>
          <w:rFonts w:eastAsia="Times New Roman" w:cs="Times New Roman"/>
          <w:szCs w:val="24"/>
        </w:rPr>
      </w:pPr>
      <w:hyperlink r:id="rId10" w:history="1">
        <w:r w:rsidR="00E458FA" w:rsidRPr="00E458FA">
          <w:rPr>
            <w:rFonts w:eastAsia="Times New Roman" w:cs="Times New Roman"/>
            <w:color w:val="0000FF"/>
            <w:szCs w:val="24"/>
            <w:u w:val="single"/>
          </w:rPr>
          <w:t>https://bisgovuk.citizenspace.com/he/fulfilling-our-potential</w:t>
        </w:r>
      </w:hyperlink>
      <w:r w:rsidR="00E458FA" w:rsidRPr="00E458FA">
        <w:rPr>
          <w:rFonts w:eastAsia="Times New Roman" w:cs="Times New Roman"/>
          <w:szCs w:val="24"/>
        </w:rPr>
        <w:t xml:space="preserve"> </w:t>
      </w:r>
    </w:p>
    <w:p w14:paraId="52F6C0F1" w14:textId="77777777" w:rsidR="00E458FA" w:rsidRPr="00E458FA" w:rsidRDefault="00E458FA" w:rsidP="00C87749">
      <w:pPr>
        <w:tabs>
          <w:tab w:val="left" w:pos="5750"/>
        </w:tabs>
        <w:spacing w:after="288" w:line="240" w:lineRule="auto"/>
        <w:ind w:left="142"/>
        <w:rPr>
          <w:rFonts w:eastAsia="Times New Roman" w:cs="Times New Roman"/>
          <w:szCs w:val="24"/>
        </w:rPr>
      </w:pPr>
      <w:r w:rsidRPr="00E458FA">
        <w:rPr>
          <w:rFonts w:eastAsia="Times New Roman" w:cs="Times New Roman"/>
          <w:szCs w:val="24"/>
        </w:rPr>
        <w:t xml:space="preserve">A copy of this response form is available at: </w:t>
      </w:r>
      <w:r w:rsidR="00C87749">
        <w:rPr>
          <w:rFonts w:eastAsia="Times New Roman" w:cs="Times New Roman"/>
          <w:szCs w:val="24"/>
        </w:rPr>
        <w:tab/>
      </w:r>
      <w:r w:rsidRPr="00E458FA">
        <w:rPr>
          <w:rFonts w:eastAsia="Times New Roman" w:cs="Times New Roman"/>
          <w:szCs w:val="24"/>
        </w:rPr>
        <w:br/>
      </w:r>
      <w:r w:rsidRPr="00E458FA">
        <w:rPr>
          <w:rFonts w:eastAsia="Times New Roman" w:cs="Times New Roman"/>
          <w:szCs w:val="24"/>
        </w:rPr>
        <w:br/>
      </w:r>
      <w:hyperlink r:id="rId11" w:history="1">
        <w:r w:rsidRPr="00E458FA">
          <w:rPr>
            <w:rFonts w:eastAsia="Times New Roman" w:cs="Times New Roman"/>
            <w:color w:val="0000FF"/>
            <w:szCs w:val="24"/>
            <w:u w:val="single"/>
          </w:rPr>
          <w:t>https://www.gov.uk/government/consultations/higher-education-teaching-excellence-social-mobility-and-student-choice</w:t>
        </w:r>
      </w:hyperlink>
    </w:p>
    <w:p w14:paraId="5F54C999" w14:textId="77777777" w:rsidR="00E458FA" w:rsidRPr="00E458FA" w:rsidRDefault="00E458FA" w:rsidP="00E458FA">
      <w:pPr>
        <w:spacing w:after="288" w:line="240" w:lineRule="auto"/>
        <w:ind w:left="142"/>
        <w:rPr>
          <w:rFonts w:eastAsia="Times New Roman" w:cs="Times New Roman"/>
          <w:szCs w:val="24"/>
        </w:rPr>
      </w:pPr>
      <w:r w:rsidRPr="00E458FA">
        <w:rPr>
          <w:rFonts w:eastAsia="Times New Roman" w:cs="Times New Roman"/>
          <w:szCs w:val="24"/>
        </w:rPr>
        <w:t>The Department may, in accordance with the Code of Practice on Access to Government Information, make available, on public request, individual responses.</w:t>
      </w:r>
    </w:p>
    <w:p w14:paraId="52C6C993" w14:textId="77777777" w:rsidR="00E458FA" w:rsidRPr="00E458FA" w:rsidRDefault="00E458FA" w:rsidP="00E458FA">
      <w:pPr>
        <w:spacing w:after="288" w:line="240" w:lineRule="auto"/>
        <w:ind w:left="142"/>
        <w:rPr>
          <w:rFonts w:eastAsia="Times New Roman" w:cs="Times New Roman"/>
          <w:szCs w:val="24"/>
        </w:rPr>
      </w:pPr>
      <w:r w:rsidRPr="00E458FA">
        <w:rPr>
          <w:rFonts w:eastAsia="Times New Roman" w:cs="Times New Roman"/>
          <w:szCs w:val="24"/>
        </w:rPr>
        <w:t>The closing date for this consultation is 15/01/2016</w:t>
      </w:r>
    </w:p>
    <w:p w14:paraId="2F2FE1D2" w14:textId="77777777" w:rsidR="00E458FA" w:rsidRPr="00E458FA" w:rsidRDefault="00E458FA" w:rsidP="00E458FA">
      <w:pPr>
        <w:spacing w:after="0" w:line="240" w:lineRule="auto"/>
        <w:ind w:left="142"/>
        <w:rPr>
          <w:rFonts w:eastAsia="Times New Roman" w:cs="Times New Roman"/>
          <w:szCs w:val="24"/>
        </w:rPr>
      </w:pPr>
    </w:p>
    <w:p w14:paraId="5AF711D3" w14:textId="77777777" w:rsidR="00E458FA" w:rsidRPr="00E458FA" w:rsidRDefault="00E458FA" w:rsidP="00E458FA">
      <w:pPr>
        <w:spacing w:after="0" w:line="240" w:lineRule="auto"/>
        <w:ind w:left="142"/>
        <w:rPr>
          <w:rFonts w:eastAsia="Times New Roman" w:cs="Times New Roman"/>
          <w:szCs w:val="24"/>
        </w:rPr>
      </w:pPr>
      <w:r w:rsidRPr="00E458FA">
        <w:rPr>
          <w:rFonts w:eastAsia="Times New Roman" w:cs="Times New Roman"/>
          <w:szCs w:val="24"/>
        </w:rPr>
        <w:t>Name:</w:t>
      </w:r>
      <w:r w:rsidR="00495402">
        <w:rPr>
          <w:rFonts w:eastAsia="Times New Roman" w:cs="Times New Roman"/>
          <w:szCs w:val="24"/>
        </w:rPr>
        <w:t xml:space="preserve"> </w:t>
      </w:r>
      <w:r w:rsidR="00495402" w:rsidRPr="00321FC5">
        <w:rPr>
          <w:rFonts w:asciiTheme="minorHAnsi" w:eastAsia="Times New Roman" w:hAnsiTheme="minorHAnsi" w:cstheme="minorHAnsi"/>
          <w:szCs w:val="24"/>
        </w:rPr>
        <w:t>Dr Jack Aitken</w:t>
      </w:r>
    </w:p>
    <w:p w14:paraId="5373B201" w14:textId="77777777" w:rsidR="00E458FA" w:rsidRPr="00E458FA" w:rsidRDefault="00E458FA" w:rsidP="00E458FA">
      <w:pPr>
        <w:spacing w:after="0" w:line="240" w:lineRule="auto"/>
        <w:ind w:left="142"/>
        <w:rPr>
          <w:rFonts w:eastAsia="Times New Roman" w:cs="Times New Roman"/>
          <w:szCs w:val="24"/>
        </w:rPr>
      </w:pPr>
      <w:r w:rsidRPr="00E458FA">
        <w:rPr>
          <w:rFonts w:eastAsia="Times New Roman" w:cs="Times New Roman"/>
          <w:szCs w:val="24"/>
        </w:rPr>
        <w:t>Organisation (if applicable):</w:t>
      </w:r>
      <w:r w:rsidR="00AF6638">
        <w:rPr>
          <w:rFonts w:eastAsia="Times New Roman" w:cs="Times New Roman"/>
          <w:szCs w:val="24"/>
        </w:rPr>
        <w:t xml:space="preserve"> </w:t>
      </w:r>
      <w:r w:rsidR="00540936" w:rsidRPr="00495402">
        <w:rPr>
          <w:rFonts w:asciiTheme="minorHAnsi" w:eastAsia="Times New Roman" w:hAnsiTheme="minorHAnsi" w:cs="Times New Roman"/>
          <w:szCs w:val="24"/>
        </w:rPr>
        <w:t>Quality Strategy Network</w:t>
      </w:r>
    </w:p>
    <w:p w14:paraId="1880AEDA" w14:textId="77777777" w:rsidR="00E458FA" w:rsidRPr="00E458FA" w:rsidRDefault="00E458FA" w:rsidP="00E458FA">
      <w:pPr>
        <w:spacing w:after="0" w:line="240" w:lineRule="auto"/>
        <w:ind w:left="142"/>
        <w:rPr>
          <w:rFonts w:eastAsia="Times New Roman" w:cs="Times New Roman"/>
          <w:szCs w:val="24"/>
        </w:rPr>
      </w:pPr>
      <w:r w:rsidRPr="00E458FA">
        <w:rPr>
          <w:rFonts w:eastAsia="Times New Roman" w:cs="Times New Roman"/>
          <w:szCs w:val="24"/>
        </w:rPr>
        <w:t>Address:</w:t>
      </w:r>
      <w:r w:rsidR="00495402">
        <w:rPr>
          <w:rFonts w:eastAsia="Times New Roman" w:cs="Times New Roman"/>
          <w:szCs w:val="24"/>
        </w:rPr>
        <w:t xml:space="preserve"> </w:t>
      </w:r>
      <w:r w:rsidR="00495402" w:rsidRPr="00321FC5">
        <w:rPr>
          <w:rFonts w:asciiTheme="minorHAnsi" w:eastAsia="Times New Roman" w:hAnsiTheme="minorHAnsi" w:cstheme="minorHAnsi"/>
          <w:szCs w:val="24"/>
        </w:rPr>
        <w:t>University of Glasgow</w:t>
      </w:r>
    </w:p>
    <w:p w14:paraId="1BC0968C" w14:textId="77777777" w:rsidR="00E458FA" w:rsidRPr="00E458FA" w:rsidRDefault="00E458FA" w:rsidP="00E458FA">
      <w:pPr>
        <w:spacing w:after="0" w:line="240" w:lineRule="auto"/>
        <w:ind w:left="142"/>
        <w:rPr>
          <w:rFonts w:eastAsia="Times New Roman" w:cs="Times New Roman"/>
          <w:szCs w:val="24"/>
        </w:rPr>
      </w:pPr>
      <w:r w:rsidRPr="00E458FA">
        <w:rPr>
          <w:rFonts w:eastAsia="Times New Roman" w:cs="Times New Roman"/>
          <w:szCs w:val="24"/>
        </w:rPr>
        <w:t>Email Address:</w:t>
      </w:r>
      <w:r w:rsidR="00495402">
        <w:rPr>
          <w:rFonts w:eastAsia="Times New Roman" w:cs="Times New Roman"/>
          <w:szCs w:val="24"/>
        </w:rPr>
        <w:t xml:space="preserve"> </w:t>
      </w:r>
      <w:r w:rsidR="00495402" w:rsidRPr="00321FC5">
        <w:rPr>
          <w:rFonts w:asciiTheme="minorHAnsi" w:eastAsia="Times New Roman" w:hAnsiTheme="minorHAnsi" w:cstheme="minorHAnsi"/>
          <w:szCs w:val="24"/>
        </w:rPr>
        <w:t>Jack.Aitken@glasgow.ac.uk</w:t>
      </w:r>
    </w:p>
    <w:p w14:paraId="465C38EC" w14:textId="77777777" w:rsidR="00E458FA" w:rsidRPr="00E458FA" w:rsidRDefault="00E458FA" w:rsidP="00E458FA">
      <w:pPr>
        <w:spacing w:after="0" w:line="240" w:lineRule="auto"/>
        <w:ind w:left="142"/>
        <w:rPr>
          <w:rFonts w:eastAsia="Times New Roman" w:cs="Times New Roman"/>
          <w:szCs w:val="24"/>
        </w:rPr>
      </w:pPr>
    </w:p>
    <w:p w14:paraId="5B009B30" w14:textId="77777777" w:rsidR="00E458FA" w:rsidRPr="00E458FA" w:rsidRDefault="00E458FA" w:rsidP="00E458FA">
      <w:pPr>
        <w:spacing w:after="0" w:line="240" w:lineRule="auto"/>
        <w:ind w:left="142"/>
        <w:rPr>
          <w:rFonts w:eastAsia="Times New Roman" w:cs="Times New Roman"/>
          <w:szCs w:val="24"/>
        </w:rPr>
      </w:pPr>
    </w:p>
    <w:p w14:paraId="414E5807" w14:textId="77777777" w:rsidR="00E458FA" w:rsidRPr="00E458FA" w:rsidRDefault="00E458FA" w:rsidP="00E458FA">
      <w:pPr>
        <w:spacing w:after="0" w:line="240" w:lineRule="auto"/>
        <w:ind w:left="142"/>
        <w:rPr>
          <w:rFonts w:eastAsia="Times New Roman" w:cs="Times New Roman"/>
          <w:szCs w:val="24"/>
        </w:rPr>
      </w:pPr>
      <w:r w:rsidRPr="00E458FA">
        <w:rPr>
          <w:rFonts w:eastAsia="Times New Roman" w:cs="Times New Roman"/>
          <w:szCs w:val="24"/>
        </w:rPr>
        <w:t>Please return completed forms to:</w:t>
      </w:r>
    </w:p>
    <w:p w14:paraId="7593EB57" w14:textId="77777777" w:rsidR="00E458FA" w:rsidRPr="00E458FA" w:rsidRDefault="00E458FA" w:rsidP="00E458FA">
      <w:pPr>
        <w:spacing w:after="0" w:line="240" w:lineRule="auto"/>
        <w:ind w:left="142"/>
        <w:rPr>
          <w:rFonts w:eastAsia="Times New Roman" w:cs="Times New Roman"/>
          <w:szCs w:val="24"/>
        </w:rPr>
      </w:pPr>
    </w:p>
    <w:p w14:paraId="46B870E6" w14:textId="77777777" w:rsidR="00E458FA" w:rsidRPr="00E458FA" w:rsidRDefault="00E458FA" w:rsidP="00E458FA">
      <w:pPr>
        <w:spacing w:after="0" w:line="240" w:lineRule="auto"/>
        <w:ind w:left="142"/>
        <w:rPr>
          <w:rFonts w:eastAsia="Times New Roman" w:cs="Times New Roman"/>
          <w:szCs w:val="24"/>
        </w:rPr>
      </w:pPr>
      <w:r w:rsidRPr="00E458FA">
        <w:rPr>
          <w:rFonts w:eastAsia="Times New Roman" w:cs="Times New Roman"/>
          <w:szCs w:val="24"/>
        </w:rPr>
        <w:t>Alison Haines</w:t>
      </w:r>
    </w:p>
    <w:p w14:paraId="2CD010FB" w14:textId="77777777" w:rsidR="00E458FA" w:rsidRPr="00E458FA" w:rsidRDefault="00E458FA" w:rsidP="00E458FA">
      <w:pPr>
        <w:spacing w:after="0" w:line="240" w:lineRule="auto"/>
        <w:ind w:left="142"/>
        <w:rPr>
          <w:rFonts w:eastAsia="Times New Roman" w:cs="Times New Roman"/>
          <w:szCs w:val="24"/>
        </w:rPr>
      </w:pPr>
      <w:r w:rsidRPr="00E458FA">
        <w:rPr>
          <w:rFonts w:eastAsia="Times New Roman" w:cs="Times New Roman"/>
          <w:szCs w:val="24"/>
        </w:rPr>
        <w:t>Higher Education Directorate</w:t>
      </w:r>
    </w:p>
    <w:p w14:paraId="45283677" w14:textId="77777777" w:rsidR="00E458FA" w:rsidRPr="00E458FA" w:rsidRDefault="00E458FA" w:rsidP="00E458FA">
      <w:pPr>
        <w:spacing w:after="0" w:line="240" w:lineRule="auto"/>
        <w:ind w:left="142"/>
        <w:rPr>
          <w:rFonts w:eastAsia="Times New Roman" w:cs="Times New Roman"/>
          <w:szCs w:val="24"/>
        </w:rPr>
      </w:pPr>
      <w:r w:rsidRPr="00E458FA">
        <w:rPr>
          <w:rFonts w:eastAsia="Times New Roman" w:cs="Times New Roman"/>
          <w:szCs w:val="24"/>
        </w:rPr>
        <w:t>Department for Business, Innovation and Skills</w:t>
      </w:r>
    </w:p>
    <w:p w14:paraId="32BE3F6F" w14:textId="77777777" w:rsidR="00E458FA" w:rsidRPr="00E458FA" w:rsidRDefault="00E458FA" w:rsidP="00E458FA">
      <w:pPr>
        <w:spacing w:after="0" w:line="240" w:lineRule="auto"/>
        <w:ind w:left="142"/>
        <w:rPr>
          <w:rFonts w:eastAsia="Times New Roman" w:cs="Times New Roman"/>
          <w:szCs w:val="24"/>
        </w:rPr>
      </w:pPr>
      <w:r w:rsidRPr="00E458FA">
        <w:rPr>
          <w:rFonts w:eastAsia="Times New Roman" w:cs="Times New Roman"/>
          <w:szCs w:val="24"/>
        </w:rPr>
        <w:t>Level 1, 2 St Paul’s Place</w:t>
      </w:r>
    </w:p>
    <w:p w14:paraId="479454C0" w14:textId="77777777" w:rsidR="00E458FA" w:rsidRPr="00E458FA" w:rsidRDefault="00E458FA" w:rsidP="00E458FA">
      <w:pPr>
        <w:spacing w:after="0" w:line="240" w:lineRule="auto"/>
        <w:ind w:left="142"/>
        <w:rPr>
          <w:rFonts w:eastAsia="Times New Roman" w:cs="Times New Roman"/>
          <w:szCs w:val="24"/>
        </w:rPr>
      </w:pPr>
      <w:r w:rsidRPr="00E458FA">
        <w:rPr>
          <w:rFonts w:eastAsia="Times New Roman" w:cs="Times New Roman"/>
          <w:szCs w:val="24"/>
        </w:rPr>
        <w:t>125 Norfolk Street</w:t>
      </w:r>
    </w:p>
    <w:p w14:paraId="208411E8" w14:textId="77777777" w:rsidR="00E458FA" w:rsidRPr="00E458FA" w:rsidRDefault="00E458FA" w:rsidP="00E458FA">
      <w:pPr>
        <w:spacing w:after="0" w:line="240" w:lineRule="auto"/>
        <w:ind w:left="142"/>
        <w:rPr>
          <w:rFonts w:eastAsia="Times New Roman" w:cs="Times New Roman"/>
          <w:szCs w:val="24"/>
        </w:rPr>
      </w:pPr>
      <w:r w:rsidRPr="00E458FA">
        <w:rPr>
          <w:rFonts w:eastAsia="Times New Roman" w:cs="Times New Roman"/>
          <w:szCs w:val="24"/>
        </w:rPr>
        <w:t>Sheffield</w:t>
      </w:r>
    </w:p>
    <w:p w14:paraId="05AFC80D" w14:textId="77777777" w:rsidR="00E458FA" w:rsidRPr="00E458FA" w:rsidRDefault="00E458FA" w:rsidP="00E458FA">
      <w:pPr>
        <w:spacing w:after="0" w:line="240" w:lineRule="auto"/>
        <w:ind w:left="142"/>
        <w:rPr>
          <w:rFonts w:eastAsia="Times New Roman" w:cs="Times New Roman"/>
          <w:szCs w:val="24"/>
        </w:rPr>
      </w:pPr>
      <w:r w:rsidRPr="00E458FA">
        <w:rPr>
          <w:rFonts w:eastAsia="Times New Roman" w:cs="Times New Roman"/>
          <w:szCs w:val="24"/>
        </w:rPr>
        <w:t>S1 2FJ</w:t>
      </w:r>
    </w:p>
    <w:p w14:paraId="439A5B3C" w14:textId="77777777" w:rsidR="00E458FA" w:rsidRPr="00E458FA" w:rsidRDefault="00E458FA" w:rsidP="00E458FA">
      <w:pPr>
        <w:spacing w:after="0" w:line="240" w:lineRule="auto"/>
        <w:ind w:left="142"/>
        <w:rPr>
          <w:rFonts w:eastAsia="Times New Roman" w:cs="Times New Roman"/>
          <w:szCs w:val="24"/>
        </w:rPr>
      </w:pPr>
    </w:p>
    <w:p w14:paraId="13AAF5B3" w14:textId="77777777" w:rsidR="00E458FA" w:rsidRPr="00E458FA" w:rsidRDefault="00E458FA" w:rsidP="00E458FA">
      <w:pPr>
        <w:spacing w:after="0" w:line="240" w:lineRule="auto"/>
        <w:ind w:left="142"/>
        <w:rPr>
          <w:rFonts w:eastAsia="Times New Roman" w:cs="Times New Roman"/>
          <w:szCs w:val="24"/>
        </w:rPr>
      </w:pPr>
      <w:proofErr w:type="gramStart"/>
      <w:r w:rsidRPr="00E458FA">
        <w:rPr>
          <w:rFonts w:eastAsia="Times New Roman" w:cs="Times New Roman"/>
          <w:szCs w:val="24"/>
        </w:rPr>
        <w:t>email</w:t>
      </w:r>
      <w:proofErr w:type="gramEnd"/>
      <w:r w:rsidRPr="00E458FA">
        <w:rPr>
          <w:rFonts w:eastAsia="Times New Roman" w:cs="Times New Roman"/>
          <w:szCs w:val="24"/>
        </w:rPr>
        <w:t>:</w:t>
      </w:r>
      <w:r w:rsidRPr="00E458FA">
        <w:rPr>
          <w:rFonts w:eastAsia="Times New Roman" w:cs="Times New Roman"/>
          <w:szCs w:val="24"/>
        </w:rPr>
        <w:tab/>
      </w:r>
      <w:hyperlink r:id="rId12" w:history="1">
        <w:r w:rsidR="001A54B9" w:rsidRPr="00CB26FE">
          <w:rPr>
            <w:rStyle w:val="Hyperlink"/>
            <w:rFonts w:eastAsia="Times New Roman" w:cs="Times New Roman"/>
            <w:szCs w:val="24"/>
          </w:rPr>
          <w:t>consultation.he@bis.gsi.gov.uk</w:t>
        </w:r>
      </w:hyperlink>
      <w:r w:rsidR="001A54B9">
        <w:rPr>
          <w:rFonts w:eastAsia="Times New Roman" w:cs="Times New Roman"/>
          <w:szCs w:val="24"/>
        </w:rPr>
        <w:t xml:space="preserve"> </w:t>
      </w:r>
    </w:p>
    <w:p w14:paraId="20A092E5" w14:textId="77777777" w:rsidR="00E458FA" w:rsidRPr="00E458FA" w:rsidRDefault="00E458FA" w:rsidP="00E458FA">
      <w:pPr>
        <w:spacing w:after="0" w:line="240" w:lineRule="auto"/>
        <w:ind w:left="142"/>
        <w:rPr>
          <w:rFonts w:eastAsia="Times New Roman" w:cs="Times New Roman"/>
          <w:szCs w:val="24"/>
        </w:rPr>
      </w:pPr>
    </w:p>
    <w:p w14:paraId="4B301DE1" w14:textId="77777777" w:rsidR="00E458FA" w:rsidRPr="00E458FA" w:rsidRDefault="00E458FA" w:rsidP="00E458FA">
      <w:pPr>
        <w:spacing w:after="288" w:line="240" w:lineRule="auto"/>
        <w:ind w:left="142"/>
        <w:rPr>
          <w:rFonts w:eastAsia="Times New Roman" w:cs="Times New Roman"/>
          <w:szCs w:val="24"/>
        </w:rPr>
      </w:pPr>
    </w:p>
    <w:p w14:paraId="0FF70D8B" w14:textId="77777777" w:rsidR="00E458FA" w:rsidRPr="00E458FA" w:rsidRDefault="00E458FA" w:rsidP="00E458FA">
      <w:pPr>
        <w:spacing w:after="288" w:line="240" w:lineRule="auto"/>
        <w:ind w:left="142"/>
        <w:rPr>
          <w:rFonts w:eastAsia="Times New Roman" w:cs="Times New Roman"/>
          <w:szCs w:val="24"/>
        </w:rPr>
      </w:pPr>
    </w:p>
    <w:p w14:paraId="13CF47F1" w14:textId="77777777" w:rsidR="00E458FA" w:rsidRPr="00E458FA" w:rsidRDefault="00E458FA" w:rsidP="00E458FA">
      <w:pPr>
        <w:spacing w:after="288" w:line="240" w:lineRule="auto"/>
        <w:ind w:left="142"/>
        <w:rPr>
          <w:rFonts w:eastAsia="Times New Roman" w:cs="Times New Roman"/>
          <w:szCs w:val="24"/>
        </w:rPr>
      </w:pPr>
    </w:p>
    <w:p w14:paraId="1207B61B" w14:textId="77777777" w:rsidR="00A84A27" w:rsidRDefault="00A84A27" w:rsidP="00E458FA">
      <w:pPr>
        <w:spacing w:after="288" w:line="240" w:lineRule="auto"/>
        <w:ind w:left="142"/>
        <w:rPr>
          <w:rFonts w:eastAsia="Times New Roman" w:cs="Times New Roman"/>
          <w:szCs w:val="24"/>
        </w:rPr>
      </w:pPr>
    </w:p>
    <w:p w14:paraId="4CE1DD35" w14:textId="77777777" w:rsidR="00E458FA" w:rsidRPr="00E458FA" w:rsidRDefault="00E458FA" w:rsidP="00E458FA">
      <w:pPr>
        <w:spacing w:after="288" w:line="240" w:lineRule="auto"/>
        <w:ind w:left="142"/>
        <w:rPr>
          <w:rFonts w:eastAsia="Times New Roman" w:cs="Times New Roman"/>
          <w:szCs w:val="24"/>
        </w:rPr>
      </w:pPr>
      <w:r w:rsidRPr="00E458FA">
        <w:rPr>
          <w:rFonts w:eastAsia="Times New Roman" w:cs="Times New Roman"/>
          <w:szCs w:val="24"/>
        </w:rPr>
        <w:lastRenderedPageBreak/>
        <w:t xml:space="preserve">Please tick the box that best describes you as a respondent to this consultation. </w:t>
      </w:r>
    </w:p>
    <w:tbl>
      <w:tblPr>
        <w:tblW w:w="3791" w:type="pct"/>
        <w:tblInd w:w="294" w:type="dxa"/>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left w:w="0" w:type="dxa"/>
          <w:right w:w="0" w:type="dxa"/>
        </w:tblCellMar>
        <w:tblLook w:val="01E0" w:firstRow="1" w:lastRow="1" w:firstColumn="1" w:lastColumn="1" w:noHBand="0" w:noVBand="0"/>
      </w:tblPr>
      <w:tblGrid>
        <w:gridCol w:w="872"/>
        <w:gridCol w:w="5987"/>
      </w:tblGrid>
      <w:tr w:rsidR="00E458FA" w:rsidRPr="00E458FA" w14:paraId="175645D3" w14:textId="77777777" w:rsidTr="000C2EE1">
        <w:trPr>
          <w:trHeight w:val="227"/>
        </w:trPr>
        <w:tc>
          <w:tcPr>
            <w:tcW w:w="636" w:type="pct"/>
            <w:shd w:val="clear" w:color="auto" w:fill="auto"/>
            <w:tcMar>
              <w:top w:w="113" w:type="dxa"/>
              <w:bottom w:w="113" w:type="dxa"/>
            </w:tcMar>
          </w:tcPr>
          <w:p w14:paraId="0FF02B53" w14:textId="77777777" w:rsidR="00E458FA" w:rsidRPr="00E458FA" w:rsidRDefault="00E458FA" w:rsidP="00E458FA">
            <w:pPr>
              <w:tabs>
                <w:tab w:val="left" w:pos="825"/>
              </w:tabs>
              <w:spacing w:after="0" w:line="240" w:lineRule="auto"/>
              <w:ind w:left="113" w:right="113"/>
              <w:rPr>
                <w:rFonts w:eastAsia="Times New Roman" w:cs="Times New Roman"/>
                <w:b/>
                <w:szCs w:val="24"/>
              </w:rPr>
            </w:pPr>
            <w:r w:rsidRPr="00E458FA">
              <w:rPr>
                <w:rFonts w:eastAsia="Times New Roman" w:cs="Times New Roman"/>
                <w:b/>
                <w:szCs w:val="24"/>
              </w:rPr>
              <w:tab/>
            </w:r>
          </w:p>
        </w:tc>
        <w:tc>
          <w:tcPr>
            <w:tcW w:w="4364" w:type="pct"/>
            <w:shd w:val="clear" w:color="auto" w:fill="auto"/>
            <w:tcMar>
              <w:top w:w="113" w:type="dxa"/>
              <w:bottom w:w="113" w:type="dxa"/>
            </w:tcMar>
          </w:tcPr>
          <w:p w14:paraId="0BBAC64E" w14:textId="77777777" w:rsidR="00E458FA" w:rsidRPr="00E458FA" w:rsidRDefault="00E458FA" w:rsidP="00E458FA">
            <w:pPr>
              <w:spacing w:after="0" w:line="240" w:lineRule="auto"/>
              <w:ind w:left="113" w:right="113"/>
              <w:rPr>
                <w:rFonts w:eastAsia="Times New Roman" w:cs="Times New Roman"/>
                <w:szCs w:val="24"/>
              </w:rPr>
            </w:pPr>
            <w:r w:rsidRPr="00E458FA">
              <w:rPr>
                <w:rFonts w:eastAsia="Times New Roman" w:cs="Times New Roman"/>
                <w:szCs w:val="24"/>
              </w:rPr>
              <w:t>Alternative higher education provider (with designated courses)</w:t>
            </w:r>
          </w:p>
        </w:tc>
      </w:tr>
      <w:tr w:rsidR="00E458FA" w:rsidRPr="00E458FA" w14:paraId="59853438" w14:textId="77777777" w:rsidTr="000C2EE1">
        <w:trPr>
          <w:trHeight w:val="227"/>
        </w:trPr>
        <w:tc>
          <w:tcPr>
            <w:tcW w:w="636" w:type="pct"/>
            <w:shd w:val="clear" w:color="auto" w:fill="auto"/>
            <w:tcMar>
              <w:top w:w="113" w:type="dxa"/>
              <w:bottom w:w="113" w:type="dxa"/>
            </w:tcMar>
          </w:tcPr>
          <w:p w14:paraId="63C17EED" w14:textId="77777777" w:rsidR="00E458FA" w:rsidRPr="00E458FA" w:rsidRDefault="00E458FA" w:rsidP="00E458FA">
            <w:pPr>
              <w:tabs>
                <w:tab w:val="left" w:pos="825"/>
              </w:tabs>
              <w:spacing w:after="0" w:line="240" w:lineRule="auto"/>
              <w:ind w:left="113" w:right="113"/>
              <w:rPr>
                <w:rFonts w:eastAsia="Times New Roman" w:cs="Times New Roman"/>
                <w:b/>
                <w:szCs w:val="24"/>
              </w:rPr>
            </w:pPr>
          </w:p>
        </w:tc>
        <w:tc>
          <w:tcPr>
            <w:tcW w:w="4364" w:type="pct"/>
            <w:shd w:val="clear" w:color="auto" w:fill="auto"/>
            <w:tcMar>
              <w:top w:w="113" w:type="dxa"/>
              <w:bottom w:w="113" w:type="dxa"/>
            </w:tcMar>
          </w:tcPr>
          <w:p w14:paraId="112F2AAF" w14:textId="77777777" w:rsidR="00E458FA" w:rsidRPr="00E458FA" w:rsidRDefault="00E458FA" w:rsidP="00E458FA">
            <w:pPr>
              <w:spacing w:after="0" w:line="240" w:lineRule="auto"/>
              <w:ind w:left="113" w:right="113"/>
              <w:rPr>
                <w:rFonts w:eastAsia="Times New Roman" w:cs="Times New Roman"/>
                <w:szCs w:val="24"/>
              </w:rPr>
            </w:pPr>
            <w:r w:rsidRPr="00E458FA">
              <w:rPr>
                <w:rFonts w:eastAsia="Times New Roman" w:cs="Times New Roman"/>
                <w:szCs w:val="24"/>
              </w:rPr>
              <w:t>Alternative higher education provider (no designated courses)</w:t>
            </w:r>
          </w:p>
        </w:tc>
      </w:tr>
      <w:tr w:rsidR="00E458FA" w:rsidRPr="00E458FA" w14:paraId="69D1ECD8" w14:textId="77777777" w:rsidTr="000C2EE1">
        <w:trPr>
          <w:trHeight w:val="227"/>
        </w:trPr>
        <w:tc>
          <w:tcPr>
            <w:tcW w:w="636" w:type="pct"/>
            <w:shd w:val="clear" w:color="auto" w:fill="auto"/>
            <w:tcMar>
              <w:top w:w="113" w:type="dxa"/>
              <w:bottom w:w="113" w:type="dxa"/>
            </w:tcMar>
          </w:tcPr>
          <w:p w14:paraId="66312E78" w14:textId="77777777" w:rsidR="00E458FA" w:rsidRPr="00E458FA" w:rsidRDefault="00E458FA" w:rsidP="00E458FA">
            <w:pPr>
              <w:tabs>
                <w:tab w:val="left" w:pos="825"/>
              </w:tabs>
              <w:spacing w:after="0" w:line="240" w:lineRule="auto"/>
              <w:ind w:left="113" w:right="113"/>
              <w:rPr>
                <w:rFonts w:eastAsia="Times New Roman" w:cs="Times New Roman"/>
                <w:b/>
                <w:szCs w:val="24"/>
              </w:rPr>
            </w:pPr>
          </w:p>
        </w:tc>
        <w:tc>
          <w:tcPr>
            <w:tcW w:w="4364" w:type="pct"/>
            <w:shd w:val="clear" w:color="auto" w:fill="auto"/>
            <w:tcMar>
              <w:top w:w="113" w:type="dxa"/>
              <w:bottom w:w="113" w:type="dxa"/>
            </w:tcMar>
          </w:tcPr>
          <w:p w14:paraId="07D0A18A" w14:textId="77777777" w:rsidR="00E458FA" w:rsidRPr="00E458FA" w:rsidRDefault="00E458FA" w:rsidP="00E458FA">
            <w:pPr>
              <w:spacing w:after="0" w:line="240" w:lineRule="auto"/>
              <w:ind w:left="113" w:right="113"/>
              <w:rPr>
                <w:rFonts w:eastAsia="Times New Roman" w:cs="Times New Roman"/>
                <w:szCs w:val="24"/>
              </w:rPr>
            </w:pPr>
            <w:r w:rsidRPr="00E458FA">
              <w:rPr>
                <w:rFonts w:eastAsia="Times New Roman" w:cs="Times New Roman"/>
                <w:szCs w:val="24"/>
              </w:rPr>
              <w:t>Awarding organisation</w:t>
            </w:r>
          </w:p>
        </w:tc>
      </w:tr>
      <w:tr w:rsidR="00E458FA" w:rsidRPr="00E458FA" w14:paraId="1A67FB2D" w14:textId="77777777" w:rsidTr="000C2EE1">
        <w:trPr>
          <w:trHeight w:val="227"/>
        </w:trPr>
        <w:tc>
          <w:tcPr>
            <w:tcW w:w="636" w:type="pct"/>
            <w:shd w:val="clear" w:color="auto" w:fill="auto"/>
            <w:tcMar>
              <w:top w:w="113" w:type="dxa"/>
              <w:bottom w:w="113" w:type="dxa"/>
            </w:tcMar>
          </w:tcPr>
          <w:p w14:paraId="3577FFC6" w14:textId="77777777" w:rsidR="00E458FA" w:rsidRPr="00E458FA" w:rsidRDefault="00E458FA" w:rsidP="00E458FA">
            <w:pPr>
              <w:spacing w:after="0" w:line="240" w:lineRule="auto"/>
              <w:ind w:left="113" w:right="113"/>
              <w:rPr>
                <w:rFonts w:eastAsia="Times New Roman" w:cs="Times New Roman"/>
                <w:b/>
                <w:szCs w:val="24"/>
              </w:rPr>
            </w:pPr>
          </w:p>
        </w:tc>
        <w:tc>
          <w:tcPr>
            <w:tcW w:w="4364" w:type="pct"/>
            <w:shd w:val="clear" w:color="auto" w:fill="auto"/>
            <w:tcMar>
              <w:top w:w="113" w:type="dxa"/>
              <w:bottom w:w="113" w:type="dxa"/>
            </w:tcMar>
          </w:tcPr>
          <w:p w14:paraId="579C1895" w14:textId="77777777" w:rsidR="00E458FA" w:rsidRPr="00E458FA" w:rsidRDefault="00E458FA" w:rsidP="00E458FA">
            <w:pPr>
              <w:spacing w:after="0" w:line="240" w:lineRule="auto"/>
              <w:ind w:left="113" w:right="113"/>
              <w:rPr>
                <w:rFonts w:eastAsia="Times New Roman" w:cs="Times New Roman"/>
                <w:szCs w:val="24"/>
              </w:rPr>
            </w:pPr>
            <w:r w:rsidRPr="00E458FA">
              <w:rPr>
                <w:rFonts w:eastAsia="Times New Roman" w:cs="Times New Roman"/>
                <w:szCs w:val="24"/>
              </w:rPr>
              <w:t>Business/Employer</w:t>
            </w:r>
          </w:p>
        </w:tc>
      </w:tr>
      <w:tr w:rsidR="00E458FA" w:rsidRPr="00E458FA" w14:paraId="56A322D3" w14:textId="77777777" w:rsidTr="000C2EE1">
        <w:trPr>
          <w:trHeight w:val="227"/>
        </w:trPr>
        <w:tc>
          <w:tcPr>
            <w:tcW w:w="636" w:type="pct"/>
            <w:shd w:val="clear" w:color="auto" w:fill="auto"/>
            <w:tcMar>
              <w:top w:w="113" w:type="dxa"/>
              <w:bottom w:w="113" w:type="dxa"/>
            </w:tcMar>
          </w:tcPr>
          <w:p w14:paraId="221BA82B" w14:textId="77777777" w:rsidR="00E458FA" w:rsidRPr="00E458FA" w:rsidRDefault="00E458FA" w:rsidP="00E458FA">
            <w:pPr>
              <w:spacing w:after="0" w:line="240" w:lineRule="auto"/>
              <w:ind w:left="113" w:right="113"/>
              <w:rPr>
                <w:rFonts w:eastAsia="Times New Roman" w:cs="Times New Roman"/>
                <w:b/>
                <w:szCs w:val="24"/>
              </w:rPr>
            </w:pPr>
          </w:p>
        </w:tc>
        <w:tc>
          <w:tcPr>
            <w:tcW w:w="4364" w:type="pct"/>
            <w:shd w:val="clear" w:color="auto" w:fill="auto"/>
            <w:tcMar>
              <w:top w:w="113" w:type="dxa"/>
              <w:bottom w:w="113" w:type="dxa"/>
            </w:tcMar>
          </w:tcPr>
          <w:p w14:paraId="1A0F43A7" w14:textId="77777777" w:rsidR="00E458FA" w:rsidRPr="00E458FA" w:rsidRDefault="00E458FA" w:rsidP="00E458FA">
            <w:pPr>
              <w:spacing w:after="0" w:line="240" w:lineRule="auto"/>
              <w:ind w:left="113" w:right="113"/>
              <w:rPr>
                <w:rFonts w:eastAsia="Times New Roman" w:cs="Times New Roman"/>
                <w:szCs w:val="24"/>
              </w:rPr>
            </w:pPr>
            <w:r w:rsidRPr="00E458FA">
              <w:rPr>
                <w:rFonts w:eastAsia="Times New Roman" w:cs="Times New Roman"/>
                <w:szCs w:val="24"/>
              </w:rPr>
              <w:t>Central government</w:t>
            </w:r>
          </w:p>
        </w:tc>
      </w:tr>
      <w:tr w:rsidR="00E458FA" w:rsidRPr="00E458FA" w14:paraId="549A692D" w14:textId="77777777" w:rsidTr="000C2EE1">
        <w:trPr>
          <w:trHeight w:val="227"/>
        </w:trPr>
        <w:tc>
          <w:tcPr>
            <w:tcW w:w="636" w:type="pct"/>
            <w:shd w:val="clear" w:color="auto" w:fill="auto"/>
            <w:tcMar>
              <w:top w:w="113" w:type="dxa"/>
              <w:bottom w:w="113" w:type="dxa"/>
            </w:tcMar>
          </w:tcPr>
          <w:p w14:paraId="4B7BEB98" w14:textId="77777777" w:rsidR="00E458FA" w:rsidRPr="00E458FA" w:rsidRDefault="00E458FA" w:rsidP="00E458FA">
            <w:pPr>
              <w:spacing w:after="0" w:line="240" w:lineRule="auto"/>
              <w:ind w:left="113" w:right="113"/>
              <w:rPr>
                <w:rFonts w:eastAsia="Times New Roman" w:cs="Times New Roman"/>
                <w:b/>
                <w:szCs w:val="24"/>
              </w:rPr>
            </w:pPr>
          </w:p>
        </w:tc>
        <w:tc>
          <w:tcPr>
            <w:tcW w:w="4364" w:type="pct"/>
            <w:shd w:val="clear" w:color="auto" w:fill="auto"/>
            <w:tcMar>
              <w:top w:w="113" w:type="dxa"/>
              <w:bottom w:w="113" w:type="dxa"/>
            </w:tcMar>
          </w:tcPr>
          <w:p w14:paraId="6C09F21E" w14:textId="77777777" w:rsidR="00E458FA" w:rsidRPr="00E458FA" w:rsidRDefault="00E458FA" w:rsidP="00E458FA">
            <w:pPr>
              <w:spacing w:after="0" w:line="240" w:lineRule="auto"/>
              <w:ind w:left="113" w:right="113"/>
              <w:rPr>
                <w:rFonts w:eastAsia="Times New Roman" w:cs="Times New Roman"/>
                <w:szCs w:val="24"/>
              </w:rPr>
            </w:pPr>
            <w:r w:rsidRPr="00E458FA">
              <w:rPr>
                <w:rFonts w:eastAsia="Times New Roman" w:cs="Times New Roman"/>
                <w:szCs w:val="24"/>
              </w:rPr>
              <w:t>Charity or social enterprise</w:t>
            </w:r>
          </w:p>
        </w:tc>
      </w:tr>
      <w:tr w:rsidR="00E458FA" w:rsidRPr="00E458FA" w14:paraId="7B07E94F" w14:textId="77777777" w:rsidTr="000C2EE1">
        <w:trPr>
          <w:trHeight w:val="227"/>
        </w:trPr>
        <w:tc>
          <w:tcPr>
            <w:tcW w:w="636" w:type="pct"/>
            <w:shd w:val="clear" w:color="auto" w:fill="auto"/>
            <w:tcMar>
              <w:top w:w="113" w:type="dxa"/>
              <w:bottom w:w="113" w:type="dxa"/>
            </w:tcMar>
          </w:tcPr>
          <w:p w14:paraId="42C1BBFD" w14:textId="77777777" w:rsidR="00E458FA" w:rsidRPr="00E458FA" w:rsidRDefault="00E458FA" w:rsidP="00E458FA">
            <w:pPr>
              <w:spacing w:after="0" w:line="240" w:lineRule="auto"/>
              <w:ind w:left="113" w:right="113"/>
              <w:rPr>
                <w:rFonts w:eastAsia="Times New Roman" w:cs="Times New Roman"/>
                <w:b/>
                <w:szCs w:val="24"/>
              </w:rPr>
            </w:pPr>
          </w:p>
        </w:tc>
        <w:tc>
          <w:tcPr>
            <w:tcW w:w="4364" w:type="pct"/>
            <w:shd w:val="clear" w:color="auto" w:fill="auto"/>
            <w:tcMar>
              <w:top w:w="113" w:type="dxa"/>
              <w:bottom w:w="113" w:type="dxa"/>
            </w:tcMar>
          </w:tcPr>
          <w:p w14:paraId="1D55AE2E" w14:textId="77777777" w:rsidR="00E458FA" w:rsidRPr="00E458FA" w:rsidRDefault="00E458FA" w:rsidP="00E458FA">
            <w:pPr>
              <w:spacing w:after="0" w:line="240" w:lineRule="auto"/>
              <w:ind w:left="113" w:right="113"/>
              <w:rPr>
                <w:rFonts w:eastAsia="Times New Roman" w:cs="Times New Roman"/>
                <w:szCs w:val="24"/>
              </w:rPr>
            </w:pPr>
            <w:r w:rsidRPr="00E458FA">
              <w:rPr>
                <w:rFonts w:eastAsia="Times New Roman" w:cs="Times New Roman"/>
                <w:szCs w:val="24"/>
              </w:rPr>
              <w:t>Further Education College</w:t>
            </w:r>
          </w:p>
        </w:tc>
      </w:tr>
      <w:tr w:rsidR="00E458FA" w:rsidRPr="00E458FA" w14:paraId="31E32C04" w14:textId="77777777" w:rsidTr="000C2EE1">
        <w:trPr>
          <w:trHeight w:val="227"/>
        </w:trPr>
        <w:tc>
          <w:tcPr>
            <w:tcW w:w="636" w:type="pct"/>
            <w:shd w:val="clear" w:color="auto" w:fill="auto"/>
            <w:tcMar>
              <w:top w:w="113" w:type="dxa"/>
              <w:bottom w:w="113" w:type="dxa"/>
            </w:tcMar>
          </w:tcPr>
          <w:p w14:paraId="798E6A4A" w14:textId="77777777" w:rsidR="00E458FA" w:rsidRPr="00540936" w:rsidRDefault="00E458FA" w:rsidP="00540936">
            <w:pPr>
              <w:spacing w:after="0" w:line="240" w:lineRule="auto"/>
              <w:ind w:left="473" w:right="113"/>
              <w:rPr>
                <w:rFonts w:eastAsia="Times New Roman" w:cs="Times New Roman"/>
                <w:b/>
                <w:szCs w:val="24"/>
              </w:rPr>
            </w:pPr>
          </w:p>
        </w:tc>
        <w:tc>
          <w:tcPr>
            <w:tcW w:w="4364" w:type="pct"/>
            <w:shd w:val="clear" w:color="auto" w:fill="auto"/>
            <w:tcMar>
              <w:top w:w="113" w:type="dxa"/>
              <w:bottom w:w="113" w:type="dxa"/>
            </w:tcMar>
          </w:tcPr>
          <w:p w14:paraId="67909CFB" w14:textId="77777777" w:rsidR="00E458FA" w:rsidRPr="00E458FA" w:rsidRDefault="00E458FA" w:rsidP="00E458FA">
            <w:pPr>
              <w:spacing w:after="0" w:line="240" w:lineRule="auto"/>
              <w:ind w:left="113" w:right="113"/>
              <w:rPr>
                <w:rFonts w:eastAsia="Times New Roman" w:cs="Times New Roman"/>
                <w:szCs w:val="24"/>
              </w:rPr>
            </w:pPr>
            <w:r w:rsidRPr="00E458FA">
              <w:rPr>
                <w:rFonts w:eastAsia="Times New Roman" w:cs="Times New Roman"/>
                <w:szCs w:val="24"/>
              </w:rPr>
              <w:t>Higher Education Institution</w:t>
            </w:r>
          </w:p>
        </w:tc>
      </w:tr>
      <w:tr w:rsidR="00E458FA" w:rsidRPr="00E458FA" w14:paraId="74B1331F" w14:textId="77777777" w:rsidTr="000C2EE1">
        <w:trPr>
          <w:trHeight w:val="227"/>
        </w:trPr>
        <w:tc>
          <w:tcPr>
            <w:tcW w:w="636" w:type="pct"/>
            <w:shd w:val="clear" w:color="auto" w:fill="auto"/>
            <w:tcMar>
              <w:top w:w="113" w:type="dxa"/>
              <w:bottom w:w="113" w:type="dxa"/>
            </w:tcMar>
          </w:tcPr>
          <w:p w14:paraId="731C5F54" w14:textId="77777777" w:rsidR="00E458FA" w:rsidRPr="00E458FA" w:rsidRDefault="00E458FA" w:rsidP="00E458FA">
            <w:pPr>
              <w:spacing w:after="0" w:line="240" w:lineRule="auto"/>
              <w:ind w:left="113" w:right="113"/>
              <w:rPr>
                <w:rFonts w:eastAsia="Times New Roman" w:cs="Times New Roman"/>
                <w:b/>
                <w:szCs w:val="24"/>
              </w:rPr>
            </w:pPr>
          </w:p>
        </w:tc>
        <w:tc>
          <w:tcPr>
            <w:tcW w:w="4364" w:type="pct"/>
            <w:shd w:val="clear" w:color="auto" w:fill="auto"/>
            <w:tcMar>
              <w:top w:w="113" w:type="dxa"/>
              <w:bottom w:w="113" w:type="dxa"/>
            </w:tcMar>
          </w:tcPr>
          <w:p w14:paraId="22821D77" w14:textId="77777777" w:rsidR="00E458FA" w:rsidRPr="00E458FA" w:rsidRDefault="00E458FA" w:rsidP="00E458FA">
            <w:pPr>
              <w:spacing w:after="0" w:line="240" w:lineRule="auto"/>
              <w:ind w:left="113" w:right="113"/>
              <w:rPr>
                <w:rFonts w:eastAsia="Times New Roman" w:cs="Times New Roman"/>
                <w:szCs w:val="24"/>
              </w:rPr>
            </w:pPr>
            <w:r w:rsidRPr="00E458FA">
              <w:rPr>
                <w:rFonts w:eastAsia="Times New Roman" w:cs="Times New Roman"/>
                <w:szCs w:val="24"/>
              </w:rPr>
              <w:t>Individual (Please describe any particular relevant interest; parent, student, teaching staff etc.)</w:t>
            </w:r>
          </w:p>
        </w:tc>
      </w:tr>
      <w:tr w:rsidR="00E458FA" w:rsidRPr="00E458FA" w14:paraId="469AB692" w14:textId="77777777" w:rsidTr="000C2EE1">
        <w:trPr>
          <w:trHeight w:val="227"/>
        </w:trPr>
        <w:tc>
          <w:tcPr>
            <w:tcW w:w="636" w:type="pct"/>
            <w:shd w:val="clear" w:color="auto" w:fill="auto"/>
            <w:tcMar>
              <w:top w:w="113" w:type="dxa"/>
              <w:bottom w:w="113" w:type="dxa"/>
            </w:tcMar>
          </w:tcPr>
          <w:p w14:paraId="4D0324BF" w14:textId="77777777" w:rsidR="00E458FA" w:rsidRPr="00E458FA" w:rsidRDefault="00E458FA" w:rsidP="00E458FA">
            <w:pPr>
              <w:spacing w:after="0" w:line="240" w:lineRule="auto"/>
              <w:ind w:left="113" w:right="113"/>
              <w:rPr>
                <w:rFonts w:eastAsia="Times New Roman" w:cs="Times New Roman"/>
                <w:b/>
                <w:szCs w:val="24"/>
              </w:rPr>
            </w:pPr>
          </w:p>
        </w:tc>
        <w:tc>
          <w:tcPr>
            <w:tcW w:w="4364" w:type="pct"/>
            <w:shd w:val="clear" w:color="auto" w:fill="auto"/>
            <w:tcMar>
              <w:top w:w="113" w:type="dxa"/>
              <w:bottom w:w="113" w:type="dxa"/>
            </w:tcMar>
          </w:tcPr>
          <w:p w14:paraId="0CA5903A" w14:textId="77777777" w:rsidR="00E458FA" w:rsidRPr="00E458FA" w:rsidRDefault="00E458FA" w:rsidP="00E458FA">
            <w:pPr>
              <w:spacing w:after="0" w:line="240" w:lineRule="auto"/>
              <w:ind w:left="113" w:right="113"/>
              <w:rPr>
                <w:rFonts w:eastAsia="Times New Roman" w:cs="Times New Roman"/>
                <w:szCs w:val="24"/>
              </w:rPr>
            </w:pPr>
            <w:r w:rsidRPr="00E458FA">
              <w:rPr>
                <w:rFonts w:eastAsia="Times New Roman" w:cs="Times New Roman"/>
                <w:szCs w:val="24"/>
              </w:rPr>
              <w:t>Legal representative</w:t>
            </w:r>
          </w:p>
        </w:tc>
      </w:tr>
      <w:tr w:rsidR="00E458FA" w:rsidRPr="00E458FA" w14:paraId="4CB097CF" w14:textId="77777777" w:rsidTr="000C2EE1">
        <w:trPr>
          <w:trHeight w:val="227"/>
        </w:trPr>
        <w:tc>
          <w:tcPr>
            <w:tcW w:w="636" w:type="pct"/>
            <w:shd w:val="clear" w:color="auto" w:fill="auto"/>
            <w:tcMar>
              <w:top w:w="113" w:type="dxa"/>
              <w:bottom w:w="113" w:type="dxa"/>
            </w:tcMar>
          </w:tcPr>
          <w:p w14:paraId="385ACD0A" w14:textId="77777777" w:rsidR="00E458FA" w:rsidRPr="00E458FA" w:rsidRDefault="00E458FA" w:rsidP="00E458FA">
            <w:pPr>
              <w:spacing w:after="0" w:line="240" w:lineRule="auto"/>
              <w:ind w:left="113" w:right="113"/>
              <w:rPr>
                <w:rFonts w:eastAsia="Times New Roman" w:cs="Times New Roman"/>
                <w:b/>
                <w:szCs w:val="24"/>
              </w:rPr>
            </w:pPr>
          </w:p>
        </w:tc>
        <w:tc>
          <w:tcPr>
            <w:tcW w:w="4364" w:type="pct"/>
            <w:shd w:val="clear" w:color="auto" w:fill="auto"/>
            <w:tcMar>
              <w:top w:w="113" w:type="dxa"/>
              <w:bottom w:w="113" w:type="dxa"/>
            </w:tcMar>
          </w:tcPr>
          <w:p w14:paraId="0E78D5D9" w14:textId="77777777" w:rsidR="00E458FA" w:rsidRPr="00E458FA" w:rsidRDefault="00E458FA" w:rsidP="00E458FA">
            <w:pPr>
              <w:spacing w:after="0" w:line="240" w:lineRule="auto"/>
              <w:ind w:left="113" w:right="113"/>
              <w:rPr>
                <w:rFonts w:eastAsia="Times New Roman" w:cs="Times New Roman"/>
                <w:szCs w:val="24"/>
              </w:rPr>
            </w:pPr>
            <w:r w:rsidRPr="00E458FA">
              <w:rPr>
                <w:rFonts w:eastAsia="Times New Roman" w:cs="Times New Roman"/>
                <w:szCs w:val="24"/>
              </w:rPr>
              <w:t>Local Government</w:t>
            </w:r>
          </w:p>
        </w:tc>
      </w:tr>
      <w:tr w:rsidR="00E458FA" w:rsidRPr="00E458FA" w14:paraId="1B8CAE17" w14:textId="77777777" w:rsidTr="000C2EE1">
        <w:trPr>
          <w:trHeight w:val="227"/>
        </w:trPr>
        <w:tc>
          <w:tcPr>
            <w:tcW w:w="636" w:type="pct"/>
            <w:shd w:val="clear" w:color="auto" w:fill="auto"/>
            <w:tcMar>
              <w:top w:w="113" w:type="dxa"/>
              <w:bottom w:w="113" w:type="dxa"/>
            </w:tcMar>
          </w:tcPr>
          <w:p w14:paraId="2DBCBFF6" w14:textId="77777777" w:rsidR="00E458FA" w:rsidRPr="00E458FA" w:rsidRDefault="00E458FA" w:rsidP="00E458FA">
            <w:pPr>
              <w:spacing w:after="0" w:line="240" w:lineRule="auto"/>
              <w:ind w:left="113" w:right="113"/>
              <w:rPr>
                <w:rFonts w:eastAsia="Times New Roman" w:cs="Times New Roman"/>
                <w:b/>
                <w:szCs w:val="24"/>
              </w:rPr>
            </w:pPr>
          </w:p>
        </w:tc>
        <w:tc>
          <w:tcPr>
            <w:tcW w:w="4364" w:type="pct"/>
            <w:shd w:val="clear" w:color="auto" w:fill="auto"/>
            <w:tcMar>
              <w:top w:w="113" w:type="dxa"/>
              <w:bottom w:w="113" w:type="dxa"/>
            </w:tcMar>
          </w:tcPr>
          <w:p w14:paraId="3D1CF917" w14:textId="77777777" w:rsidR="00E458FA" w:rsidRPr="00E458FA" w:rsidRDefault="00E458FA" w:rsidP="00E458FA">
            <w:pPr>
              <w:spacing w:after="0" w:line="240" w:lineRule="auto"/>
              <w:ind w:left="113" w:right="113"/>
              <w:rPr>
                <w:rFonts w:eastAsia="Times New Roman" w:cs="Times New Roman"/>
                <w:szCs w:val="24"/>
              </w:rPr>
            </w:pPr>
            <w:r w:rsidRPr="00E458FA">
              <w:rPr>
                <w:rFonts w:eastAsia="Times New Roman" w:cs="Times New Roman"/>
                <w:szCs w:val="24"/>
              </w:rPr>
              <w:t>Professional Body</w:t>
            </w:r>
          </w:p>
        </w:tc>
      </w:tr>
      <w:tr w:rsidR="00E458FA" w:rsidRPr="00E458FA" w14:paraId="220E2E06" w14:textId="77777777" w:rsidTr="000C2EE1">
        <w:trPr>
          <w:trHeight w:val="227"/>
        </w:trPr>
        <w:tc>
          <w:tcPr>
            <w:tcW w:w="636" w:type="pct"/>
            <w:shd w:val="clear" w:color="auto" w:fill="auto"/>
            <w:tcMar>
              <w:top w:w="113" w:type="dxa"/>
              <w:bottom w:w="113" w:type="dxa"/>
            </w:tcMar>
          </w:tcPr>
          <w:p w14:paraId="7EFF6DCF" w14:textId="77777777" w:rsidR="00E458FA" w:rsidRPr="00540936" w:rsidRDefault="00E458FA" w:rsidP="00540936">
            <w:pPr>
              <w:pStyle w:val="ListParagraph"/>
              <w:numPr>
                <w:ilvl w:val="0"/>
                <w:numId w:val="28"/>
              </w:numPr>
              <w:spacing w:after="0" w:line="240" w:lineRule="auto"/>
              <w:ind w:right="113"/>
              <w:rPr>
                <w:rFonts w:eastAsia="Times New Roman" w:cs="Times New Roman"/>
                <w:b/>
                <w:szCs w:val="24"/>
              </w:rPr>
            </w:pPr>
          </w:p>
        </w:tc>
        <w:tc>
          <w:tcPr>
            <w:tcW w:w="4364" w:type="pct"/>
            <w:shd w:val="clear" w:color="auto" w:fill="auto"/>
            <w:tcMar>
              <w:top w:w="113" w:type="dxa"/>
              <w:bottom w:w="113" w:type="dxa"/>
            </w:tcMar>
          </w:tcPr>
          <w:p w14:paraId="2824AD04" w14:textId="77777777" w:rsidR="00E458FA" w:rsidRPr="00E458FA" w:rsidRDefault="00E458FA" w:rsidP="00E458FA">
            <w:pPr>
              <w:spacing w:after="0" w:line="240" w:lineRule="auto"/>
              <w:ind w:left="113" w:right="113"/>
              <w:rPr>
                <w:rFonts w:eastAsia="Times New Roman" w:cs="Times New Roman"/>
                <w:szCs w:val="24"/>
              </w:rPr>
            </w:pPr>
            <w:r w:rsidRPr="00E458FA">
              <w:rPr>
                <w:rFonts w:eastAsia="Times New Roman" w:cs="Times New Roman"/>
                <w:szCs w:val="24"/>
              </w:rPr>
              <w:t>Representative Body</w:t>
            </w:r>
          </w:p>
        </w:tc>
      </w:tr>
      <w:tr w:rsidR="00E458FA" w:rsidRPr="00E458FA" w14:paraId="5D71BF25" w14:textId="77777777" w:rsidTr="000C2EE1">
        <w:trPr>
          <w:trHeight w:val="227"/>
        </w:trPr>
        <w:tc>
          <w:tcPr>
            <w:tcW w:w="636" w:type="pct"/>
            <w:shd w:val="clear" w:color="auto" w:fill="auto"/>
            <w:tcMar>
              <w:top w:w="113" w:type="dxa"/>
              <w:bottom w:w="113" w:type="dxa"/>
            </w:tcMar>
          </w:tcPr>
          <w:p w14:paraId="15085F2B" w14:textId="77777777" w:rsidR="00E458FA" w:rsidRPr="00E458FA" w:rsidRDefault="00E458FA" w:rsidP="00E458FA">
            <w:pPr>
              <w:spacing w:after="0" w:line="240" w:lineRule="auto"/>
              <w:ind w:left="113" w:right="113"/>
              <w:rPr>
                <w:rFonts w:eastAsia="Times New Roman" w:cs="Times New Roman"/>
                <w:b/>
                <w:szCs w:val="24"/>
              </w:rPr>
            </w:pPr>
          </w:p>
        </w:tc>
        <w:tc>
          <w:tcPr>
            <w:tcW w:w="4364" w:type="pct"/>
            <w:shd w:val="clear" w:color="auto" w:fill="auto"/>
            <w:tcMar>
              <w:top w:w="113" w:type="dxa"/>
              <w:bottom w:w="113" w:type="dxa"/>
            </w:tcMar>
          </w:tcPr>
          <w:p w14:paraId="7D37B6EE" w14:textId="77777777" w:rsidR="00E458FA" w:rsidRPr="00E458FA" w:rsidRDefault="00E458FA" w:rsidP="00E458FA">
            <w:pPr>
              <w:spacing w:after="0" w:line="240" w:lineRule="auto"/>
              <w:ind w:left="113" w:right="113"/>
              <w:rPr>
                <w:rFonts w:eastAsia="Times New Roman" w:cs="Times New Roman"/>
                <w:szCs w:val="24"/>
              </w:rPr>
            </w:pPr>
            <w:r w:rsidRPr="00E458FA">
              <w:rPr>
                <w:rFonts w:eastAsia="Times New Roman" w:cs="Times New Roman"/>
                <w:szCs w:val="24"/>
              </w:rPr>
              <w:t>Research Council</w:t>
            </w:r>
          </w:p>
        </w:tc>
      </w:tr>
      <w:tr w:rsidR="00E458FA" w:rsidRPr="00E458FA" w14:paraId="476D2D52" w14:textId="77777777" w:rsidTr="000C2EE1">
        <w:trPr>
          <w:trHeight w:val="227"/>
        </w:trPr>
        <w:tc>
          <w:tcPr>
            <w:tcW w:w="636" w:type="pct"/>
            <w:shd w:val="clear" w:color="auto" w:fill="auto"/>
            <w:tcMar>
              <w:top w:w="113" w:type="dxa"/>
              <w:bottom w:w="113" w:type="dxa"/>
            </w:tcMar>
          </w:tcPr>
          <w:p w14:paraId="6FBEE3DA" w14:textId="77777777" w:rsidR="00E458FA" w:rsidRPr="00E458FA" w:rsidRDefault="00E458FA" w:rsidP="00E458FA">
            <w:pPr>
              <w:spacing w:after="0" w:line="240" w:lineRule="auto"/>
              <w:ind w:left="113" w:right="113"/>
              <w:rPr>
                <w:rFonts w:eastAsia="Times New Roman" w:cs="Times New Roman"/>
                <w:b/>
                <w:szCs w:val="24"/>
              </w:rPr>
            </w:pPr>
          </w:p>
        </w:tc>
        <w:tc>
          <w:tcPr>
            <w:tcW w:w="4364" w:type="pct"/>
            <w:shd w:val="clear" w:color="auto" w:fill="auto"/>
            <w:tcMar>
              <w:top w:w="113" w:type="dxa"/>
              <w:bottom w:w="113" w:type="dxa"/>
            </w:tcMar>
          </w:tcPr>
          <w:p w14:paraId="0938143D" w14:textId="77777777" w:rsidR="00E458FA" w:rsidRPr="00E458FA" w:rsidRDefault="00E458FA" w:rsidP="00E458FA">
            <w:pPr>
              <w:spacing w:after="0" w:line="240" w:lineRule="auto"/>
              <w:ind w:left="113" w:right="113"/>
              <w:rPr>
                <w:rFonts w:eastAsia="Times New Roman" w:cs="Times New Roman"/>
                <w:szCs w:val="24"/>
              </w:rPr>
            </w:pPr>
            <w:r w:rsidRPr="00E458FA">
              <w:rPr>
                <w:rFonts w:eastAsia="Times New Roman" w:cs="Times New Roman"/>
                <w:szCs w:val="24"/>
              </w:rPr>
              <w:t>Trade union or staff association</w:t>
            </w:r>
          </w:p>
        </w:tc>
      </w:tr>
      <w:tr w:rsidR="00E458FA" w:rsidRPr="00E458FA" w14:paraId="6E990DA2" w14:textId="77777777" w:rsidTr="000C2EE1">
        <w:trPr>
          <w:trHeight w:val="227"/>
        </w:trPr>
        <w:tc>
          <w:tcPr>
            <w:tcW w:w="636" w:type="pct"/>
            <w:shd w:val="clear" w:color="auto" w:fill="auto"/>
            <w:tcMar>
              <w:top w:w="113" w:type="dxa"/>
              <w:bottom w:w="113" w:type="dxa"/>
            </w:tcMar>
          </w:tcPr>
          <w:p w14:paraId="42706F5E" w14:textId="77777777" w:rsidR="00E458FA" w:rsidRPr="00E458FA" w:rsidRDefault="00E458FA" w:rsidP="00E458FA">
            <w:pPr>
              <w:spacing w:after="0" w:line="240" w:lineRule="auto"/>
              <w:ind w:left="113" w:right="113"/>
              <w:rPr>
                <w:rFonts w:eastAsia="Times New Roman" w:cs="Times New Roman"/>
                <w:b/>
                <w:szCs w:val="24"/>
              </w:rPr>
            </w:pPr>
          </w:p>
        </w:tc>
        <w:tc>
          <w:tcPr>
            <w:tcW w:w="4364" w:type="pct"/>
            <w:shd w:val="clear" w:color="auto" w:fill="auto"/>
            <w:tcMar>
              <w:top w:w="113" w:type="dxa"/>
              <w:bottom w:w="113" w:type="dxa"/>
            </w:tcMar>
          </w:tcPr>
          <w:p w14:paraId="6E6D350C" w14:textId="77777777" w:rsidR="00E458FA" w:rsidRPr="00E458FA" w:rsidRDefault="00E458FA" w:rsidP="00E458FA">
            <w:pPr>
              <w:spacing w:after="0" w:line="240" w:lineRule="auto"/>
              <w:ind w:left="113" w:right="113"/>
              <w:rPr>
                <w:rFonts w:eastAsia="Times New Roman" w:cs="Times New Roman"/>
                <w:szCs w:val="24"/>
              </w:rPr>
            </w:pPr>
            <w:r w:rsidRPr="00E458FA">
              <w:rPr>
                <w:rFonts w:eastAsia="Times New Roman" w:cs="Times New Roman"/>
                <w:szCs w:val="24"/>
              </w:rPr>
              <w:t>Other (please describe)</w:t>
            </w:r>
          </w:p>
        </w:tc>
      </w:tr>
    </w:tbl>
    <w:p w14:paraId="00ACFEDC" w14:textId="77777777" w:rsidR="00E458FA" w:rsidRPr="00E458FA" w:rsidRDefault="00E458FA" w:rsidP="00E458FA">
      <w:pPr>
        <w:spacing w:after="288" w:line="240" w:lineRule="auto"/>
        <w:ind w:left="142"/>
        <w:rPr>
          <w:rFonts w:eastAsia="Times New Roman" w:cs="Times New Roman"/>
          <w:szCs w:val="24"/>
        </w:rPr>
      </w:pPr>
    </w:p>
    <w:p w14:paraId="07B9ECE8" w14:textId="77777777" w:rsidR="00E458FA" w:rsidRPr="00E458FA" w:rsidRDefault="00E458FA" w:rsidP="00E458FA">
      <w:pPr>
        <w:keepNext/>
        <w:spacing w:after="120" w:line="240" w:lineRule="auto"/>
        <w:ind w:left="142"/>
        <w:outlineLvl w:val="2"/>
        <w:rPr>
          <w:rFonts w:eastAsia="Times New Roman" w:cs="Times New Roman"/>
          <w:b/>
          <w:bCs/>
          <w:color w:val="009BBB"/>
          <w:sz w:val="26"/>
          <w:szCs w:val="26"/>
        </w:rPr>
      </w:pPr>
      <w:bookmarkStart w:id="1" w:name="_Toc434412496"/>
      <w:bookmarkStart w:id="2" w:name="_Toc222902184"/>
      <w:bookmarkStart w:id="3" w:name="_Toc337743655"/>
      <w:bookmarkStart w:id="4" w:name="_Toc426987235"/>
      <w:r w:rsidRPr="00E458FA">
        <w:rPr>
          <w:rFonts w:eastAsia="Times New Roman" w:cs="Times New Roman"/>
          <w:b/>
          <w:bCs/>
          <w:color w:val="009BBB"/>
          <w:sz w:val="26"/>
          <w:szCs w:val="26"/>
        </w:rPr>
        <w:t>Public sector equality duty</w:t>
      </w:r>
      <w:bookmarkEnd w:id="1"/>
    </w:p>
    <w:p w14:paraId="02C22F7E" w14:textId="77777777" w:rsidR="00E458FA" w:rsidRPr="00E458FA" w:rsidRDefault="00E458FA" w:rsidP="00E458FA">
      <w:pPr>
        <w:spacing w:after="288" w:line="240" w:lineRule="auto"/>
        <w:ind w:left="142"/>
        <w:rPr>
          <w:rFonts w:eastAsia="Times New Roman" w:cs="Times New Roman"/>
          <w:szCs w:val="24"/>
        </w:rPr>
      </w:pPr>
      <w:r w:rsidRPr="00E458FA">
        <w:rPr>
          <w:rFonts w:eastAsia="Times New Roman" w:cs="Times New Roman"/>
          <w:szCs w:val="24"/>
        </w:rPr>
        <w:t>Question 1</w:t>
      </w:r>
      <w:bookmarkEnd w:id="2"/>
      <w:bookmarkEnd w:id="3"/>
      <w:bookmarkEnd w:id="4"/>
      <w:r w:rsidRPr="00E458FA">
        <w:rPr>
          <w:rFonts w:eastAsia="Times New Roman" w:cs="Times New Roman"/>
          <w:szCs w:val="24"/>
        </w:rPr>
        <w:t>:</w:t>
      </w:r>
    </w:p>
    <w:p w14:paraId="6EA49E05" w14:textId="77777777" w:rsidR="00E458FA" w:rsidRPr="00495402" w:rsidRDefault="00E458FA" w:rsidP="00E458FA">
      <w:pPr>
        <w:numPr>
          <w:ilvl w:val="0"/>
          <w:numId w:val="19"/>
        </w:numPr>
        <w:tabs>
          <w:tab w:val="left" w:pos="567"/>
        </w:tabs>
        <w:spacing w:after="288" w:line="240" w:lineRule="auto"/>
        <w:ind w:right="11"/>
        <w:rPr>
          <w:rFonts w:eastAsia="Times New Roman" w:cs="Arial"/>
          <w:szCs w:val="24"/>
        </w:rPr>
      </w:pPr>
      <w:r w:rsidRPr="00E458FA">
        <w:rPr>
          <w:rFonts w:eastAsia="Times New Roman" w:cs="Arial"/>
          <w:szCs w:val="24"/>
        </w:rPr>
        <w:t>What are your views on the potential equality impacts of the proposals and other plans in this consultation?</w:t>
      </w:r>
      <w:r w:rsidRPr="00E458FA">
        <w:rPr>
          <w:rFonts w:eastAsia="Times New Roman" w:cs="Arial"/>
          <w:szCs w:val="24"/>
        </w:rPr>
        <w:br/>
      </w:r>
      <w:r w:rsidRPr="00E458FA">
        <w:rPr>
          <w:rFonts w:eastAsia="Times New Roman" w:cs="Arial"/>
          <w:szCs w:val="24"/>
        </w:rPr>
        <w:br/>
      </w:r>
      <w:r w:rsidR="009A5543" w:rsidRPr="00495402">
        <w:rPr>
          <w:rFonts w:asciiTheme="minorHAnsi" w:eastAsia="Times New Roman" w:hAnsiTheme="minorHAnsi" w:cs="Arial"/>
          <w:szCs w:val="24"/>
        </w:rPr>
        <w:t>The Green Paper would benefit, as noted, from further consideration of the potential equ</w:t>
      </w:r>
      <w:r w:rsidR="001A2EBB" w:rsidRPr="00495402">
        <w:rPr>
          <w:rFonts w:asciiTheme="minorHAnsi" w:eastAsia="Times New Roman" w:hAnsiTheme="minorHAnsi" w:cs="Arial"/>
          <w:szCs w:val="24"/>
        </w:rPr>
        <w:t>ality impacts of the proposals, particularly in regard to the ‘Technical Consultation’.</w:t>
      </w:r>
    </w:p>
    <w:p w14:paraId="3C4F1294" w14:textId="77777777" w:rsidR="00077963" w:rsidRPr="00495402" w:rsidRDefault="00077963" w:rsidP="00077963">
      <w:pPr>
        <w:pStyle w:val="ListParagraph"/>
        <w:spacing w:after="288" w:line="240" w:lineRule="auto"/>
        <w:ind w:left="502"/>
        <w:rPr>
          <w:rFonts w:eastAsia="Times New Roman" w:cs="Arial"/>
          <w:sz w:val="24"/>
          <w:szCs w:val="24"/>
        </w:rPr>
      </w:pPr>
      <w:r w:rsidRPr="00495402">
        <w:rPr>
          <w:rFonts w:eastAsia="Times New Roman" w:cs="Arial"/>
          <w:sz w:val="24"/>
          <w:szCs w:val="24"/>
        </w:rPr>
        <w:t>It is also not clear what consultation has taken place with students on informing the development of the Green Paper and the forthcoming ‘Technical Consultation’.</w:t>
      </w:r>
    </w:p>
    <w:p w14:paraId="4088882A" w14:textId="77777777" w:rsidR="00077963" w:rsidRPr="00E458FA" w:rsidRDefault="00077963" w:rsidP="00077963">
      <w:pPr>
        <w:tabs>
          <w:tab w:val="left" w:pos="567"/>
        </w:tabs>
        <w:spacing w:after="288" w:line="240" w:lineRule="auto"/>
        <w:ind w:left="502" w:right="11"/>
        <w:rPr>
          <w:rFonts w:eastAsia="Times New Roman" w:cs="Arial"/>
          <w:szCs w:val="24"/>
        </w:rPr>
      </w:pPr>
    </w:p>
    <w:p w14:paraId="50DC8946" w14:textId="77777777" w:rsidR="00E458FA" w:rsidRPr="00E458FA" w:rsidRDefault="00E458FA" w:rsidP="00E458FA">
      <w:pPr>
        <w:numPr>
          <w:ilvl w:val="0"/>
          <w:numId w:val="19"/>
        </w:numPr>
        <w:tabs>
          <w:tab w:val="left" w:pos="567"/>
        </w:tabs>
        <w:spacing w:after="288" w:line="240" w:lineRule="auto"/>
        <w:ind w:right="11"/>
        <w:rPr>
          <w:rFonts w:eastAsia="Times New Roman" w:cs="Arial"/>
          <w:szCs w:val="24"/>
        </w:rPr>
      </w:pPr>
      <w:r w:rsidRPr="00E458FA">
        <w:rPr>
          <w:rFonts w:eastAsia="Times New Roman" w:cs="Arial"/>
          <w:szCs w:val="24"/>
        </w:rPr>
        <w:t xml:space="preserve">Are there any equality impacts that we have not considered? </w:t>
      </w:r>
    </w:p>
    <w:p w14:paraId="378B305A" w14:textId="77777777" w:rsidR="00E458FA" w:rsidRPr="00E458FA" w:rsidRDefault="00E458FA" w:rsidP="00E458FA">
      <w:pPr>
        <w:tabs>
          <w:tab w:val="left" w:pos="567"/>
        </w:tabs>
        <w:spacing w:after="288" w:line="240" w:lineRule="auto"/>
        <w:ind w:left="142"/>
        <w:rPr>
          <w:rFonts w:eastAsia="Times New Roman" w:cs="Times New Roman"/>
          <w:szCs w:val="24"/>
        </w:rPr>
      </w:pPr>
      <w:r w:rsidRPr="00E458FA">
        <w:rPr>
          <w:rFonts w:eastAsia="Times New Roman" w:cs="Times New Roman"/>
          <w:szCs w:val="24"/>
        </w:rPr>
        <w:t xml:space="preserve">         </w:t>
      </w:r>
      <w:sdt>
        <w:sdtPr>
          <w:rPr>
            <w:rFonts w:eastAsia="Times New Roman" w:cs="Times New Roman"/>
            <w:szCs w:val="24"/>
          </w:rPr>
          <w:id w:val="-1658907539"/>
        </w:sdtPr>
        <w:sdtEndPr/>
        <w:sdtContent>
          <w:r w:rsidR="00D34A0D">
            <w:rPr>
              <w:rFonts w:ascii="MS Gothic" w:eastAsia="MS Gothic" w:hAnsi="MS Gothic" w:cs="Times New Roman" w:hint="eastAsia"/>
              <w:szCs w:val="24"/>
            </w:rPr>
            <w:t>☒</w:t>
          </w:r>
        </w:sdtContent>
      </w:sdt>
      <w:r w:rsidRPr="00E458FA">
        <w:rPr>
          <w:rFonts w:eastAsia="Times New Roman" w:cs="Times New Roman"/>
          <w:szCs w:val="24"/>
        </w:rPr>
        <w:t xml:space="preserve"> Yes</w:t>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651065047"/>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1437714743"/>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w:t>
      </w:r>
      <w:proofErr w:type="gramStart"/>
      <w:r w:rsidRPr="00E458FA">
        <w:rPr>
          <w:rFonts w:eastAsia="Times New Roman" w:cs="Times New Roman"/>
          <w:szCs w:val="24"/>
        </w:rPr>
        <w:t>Not</w:t>
      </w:r>
      <w:proofErr w:type="gramEnd"/>
      <w:r w:rsidRPr="00E458FA">
        <w:rPr>
          <w:rFonts w:eastAsia="Times New Roman" w:cs="Times New Roman"/>
          <w:szCs w:val="24"/>
        </w:rPr>
        <w:t xml:space="preserve"> sure</w:t>
      </w:r>
    </w:p>
    <w:p w14:paraId="71CAB214" w14:textId="77777777"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Please provide any further relevant evidence.</w:t>
      </w:r>
    </w:p>
    <w:p w14:paraId="081E8AC0" w14:textId="77777777" w:rsidR="00E458FA" w:rsidRPr="00495402" w:rsidRDefault="009A5543" w:rsidP="00E458FA">
      <w:pPr>
        <w:tabs>
          <w:tab w:val="left" w:pos="567"/>
        </w:tabs>
        <w:spacing w:after="288" w:line="240" w:lineRule="auto"/>
        <w:ind w:left="142" w:right="11"/>
        <w:rPr>
          <w:rFonts w:asciiTheme="minorHAnsi" w:eastAsia="Times New Roman" w:hAnsiTheme="minorHAnsi" w:cs="Arial"/>
          <w:szCs w:val="24"/>
        </w:rPr>
      </w:pPr>
      <w:r w:rsidRPr="00495402">
        <w:rPr>
          <w:rFonts w:asciiTheme="minorHAnsi" w:eastAsia="Times New Roman" w:hAnsiTheme="minorHAnsi" w:cs="Arial"/>
          <w:szCs w:val="24"/>
        </w:rPr>
        <w:t xml:space="preserve">The Green Paper does not appear to address any matters relating to part-time study; this may have implications in regard to age, for example. </w:t>
      </w:r>
    </w:p>
    <w:p w14:paraId="16BDA75E" w14:textId="77777777" w:rsidR="00E458FA" w:rsidRPr="00495402" w:rsidRDefault="009A5543" w:rsidP="00E458FA">
      <w:pPr>
        <w:spacing w:after="288" w:line="240" w:lineRule="auto"/>
        <w:ind w:left="142"/>
        <w:rPr>
          <w:rFonts w:asciiTheme="minorHAnsi" w:eastAsia="Times New Roman" w:hAnsiTheme="minorHAnsi" w:cs="Arial"/>
          <w:szCs w:val="24"/>
        </w:rPr>
      </w:pPr>
      <w:bookmarkStart w:id="5" w:name="_Toc222902185"/>
      <w:bookmarkStart w:id="6" w:name="_Toc337743656"/>
      <w:bookmarkStart w:id="7" w:name="_Toc426987236"/>
      <w:r w:rsidRPr="00495402">
        <w:rPr>
          <w:rFonts w:asciiTheme="minorHAnsi" w:eastAsia="Times New Roman" w:hAnsiTheme="minorHAnsi" w:cs="Arial"/>
          <w:szCs w:val="24"/>
        </w:rPr>
        <w:t xml:space="preserve">The Green Paper proposes linking teaching excellence to increases in fees; this appears to discount those facing disadvantage through family income and economic status. </w:t>
      </w:r>
      <w:r w:rsidR="00D55836" w:rsidRPr="00495402">
        <w:rPr>
          <w:rFonts w:asciiTheme="minorHAnsi" w:eastAsia="Times New Roman" w:hAnsiTheme="minorHAnsi" w:cs="Arial"/>
          <w:szCs w:val="24"/>
        </w:rPr>
        <w:t>There needs to be consideration of incentives</w:t>
      </w:r>
      <w:r w:rsidR="00083873" w:rsidRPr="00495402">
        <w:rPr>
          <w:rFonts w:asciiTheme="minorHAnsi" w:eastAsia="Times New Roman" w:hAnsiTheme="minorHAnsi" w:cs="Arial"/>
          <w:szCs w:val="24"/>
        </w:rPr>
        <w:t xml:space="preserve"> (outlined in the Access Agreement, potentially)</w:t>
      </w:r>
      <w:r w:rsidR="00D55836" w:rsidRPr="00495402">
        <w:rPr>
          <w:rFonts w:asciiTheme="minorHAnsi" w:eastAsia="Times New Roman" w:hAnsiTheme="minorHAnsi" w:cs="Arial"/>
          <w:szCs w:val="24"/>
        </w:rPr>
        <w:t xml:space="preserve"> to attract those students to the top-performing institutions that do not result in a higher fee.</w:t>
      </w:r>
    </w:p>
    <w:p w14:paraId="04CA7CCC" w14:textId="77777777" w:rsidR="00077963" w:rsidRPr="00495402" w:rsidRDefault="00077963" w:rsidP="00077963">
      <w:pPr>
        <w:pStyle w:val="CommentText"/>
        <w:ind w:left="142"/>
        <w:rPr>
          <w:rFonts w:asciiTheme="minorHAnsi" w:eastAsia="Times New Roman" w:hAnsiTheme="minorHAnsi" w:cs="Arial"/>
          <w:sz w:val="24"/>
          <w:szCs w:val="24"/>
        </w:rPr>
      </w:pPr>
      <w:r w:rsidRPr="00495402">
        <w:rPr>
          <w:rFonts w:asciiTheme="minorHAnsi" w:eastAsia="Times New Roman" w:hAnsiTheme="minorHAnsi" w:cs="Arial"/>
          <w:sz w:val="24"/>
          <w:szCs w:val="24"/>
        </w:rPr>
        <w:t>Could the TEF be used to measure the impact and effect of Higher Education on improving social capital?</w:t>
      </w:r>
    </w:p>
    <w:p w14:paraId="672241B3" w14:textId="77777777" w:rsidR="00E458FA" w:rsidRPr="00E458FA" w:rsidRDefault="00E458FA" w:rsidP="00E458FA">
      <w:pPr>
        <w:keepNext/>
        <w:spacing w:after="120" w:line="240" w:lineRule="auto"/>
        <w:outlineLvl w:val="2"/>
        <w:rPr>
          <w:rFonts w:eastAsia="Times New Roman" w:cs="Times New Roman"/>
          <w:b/>
          <w:bCs/>
          <w:color w:val="009BBB"/>
          <w:sz w:val="26"/>
          <w:szCs w:val="26"/>
        </w:rPr>
      </w:pPr>
      <w:bookmarkStart w:id="8" w:name="_Toc434412497"/>
      <w:r w:rsidRPr="00E458FA">
        <w:rPr>
          <w:rFonts w:eastAsia="Times New Roman" w:cs="Times New Roman"/>
          <w:b/>
          <w:bCs/>
          <w:color w:val="009BBB"/>
          <w:sz w:val="26"/>
          <w:szCs w:val="26"/>
        </w:rPr>
        <w:t>Teaching Excellence Framework (TEF) (Part A: Chapters 1-3)</w:t>
      </w:r>
      <w:bookmarkEnd w:id="8"/>
    </w:p>
    <w:bookmarkEnd w:id="5"/>
    <w:bookmarkEnd w:id="6"/>
    <w:bookmarkEnd w:id="7"/>
    <w:p w14:paraId="283F5495" w14:textId="77777777" w:rsidR="00E458FA" w:rsidRPr="00E458FA" w:rsidRDefault="00E458FA" w:rsidP="00E458FA">
      <w:pPr>
        <w:spacing w:after="288" w:line="240" w:lineRule="auto"/>
        <w:ind w:left="142"/>
        <w:rPr>
          <w:rFonts w:eastAsia="Times New Roman" w:cs="Times New Roman"/>
          <w:szCs w:val="24"/>
        </w:rPr>
      </w:pPr>
      <w:r w:rsidRPr="00E458FA">
        <w:rPr>
          <w:rFonts w:eastAsia="Times New Roman" w:cs="Times New Roman"/>
          <w:szCs w:val="24"/>
        </w:rPr>
        <w:t xml:space="preserve">Question 2: How can information from the TEF </w:t>
      </w:r>
      <w:proofErr w:type="gramStart"/>
      <w:r w:rsidRPr="00E458FA">
        <w:rPr>
          <w:rFonts w:eastAsia="Times New Roman" w:cs="Times New Roman"/>
          <w:szCs w:val="24"/>
        </w:rPr>
        <w:t>be</w:t>
      </w:r>
      <w:proofErr w:type="gramEnd"/>
      <w:r w:rsidRPr="00E458FA">
        <w:rPr>
          <w:rFonts w:eastAsia="Times New Roman" w:cs="Times New Roman"/>
          <w:szCs w:val="24"/>
        </w:rPr>
        <w:t xml:space="preserve"> used to better inform student and employer decision making? Please quantify these benefits as far as you can.</w:t>
      </w:r>
    </w:p>
    <w:p w14:paraId="209CA8D4" w14:textId="77777777" w:rsidR="003F2390" w:rsidRPr="009326AD" w:rsidRDefault="0041183F" w:rsidP="003F2390">
      <w:pPr>
        <w:pStyle w:val="CommentText"/>
        <w:ind w:left="142"/>
        <w:rPr>
          <w:rFonts w:asciiTheme="minorHAnsi" w:eastAsia="Times New Roman" w:hAnsiTheme="minorHAnsi" w:cstheme="minorHAnsi"/>
          <w:sz w:val="24"/>
          <w:szCs w:val="24"/>
        </w:rPr>
      </w:pPr>
      <w:r w:rsidRPr="009326AD">
        <w:rPr>
          <w:rFonts w:asciiTheme="minorHAnsi" w:eastAsia="Times New Roman" w:hAnsiTheme="minorHAnsi" w:cstheme="minorHAnsi"/>
          <w:sz w:val="24"/>
          <w:szCs w:val="24"/>
        </w:rPr>
        <w:t>Students may benefit from more transparent, independent and comprehensive information for decision-making purposes; where is the best place for me to study ‘x’, for example.</w:t>
      </w:r>
      <w:r w:rsidR="00B26A91" w:rsidRPr="009326AD">
        <w:rPr>
          <w:rFonts w:asciiTheme="minorHAnsi" w:eastAsia="Times New Roman" w:hAnsiTheme="minorHAnsi" w:cstheme="minorHAnsi"/>
          <w:sz w:val="24"/>
          <w:szCs w:val="24"/>
        </w:rPr>
        <w:t xml:space="preserve"> However, it is not at all clear how students have engaged with current information designed to inform choice and decision-making, such as the KIS.</w:t>
      </w:r>
      <w:r w:rsidR="001A2EBB" w:rsidRPr="009326AD">
        <w:rPr>
          <w:rFonts w:asciiTheme="minorHAnsi" w:eastAsia="Times New Roman" w:hAnsiTheme="minorHAnsi" w:cstheme="minorHAnsi"/>
          <w:sz w:val="24"/>
          <w:szCs w:val="24"/>
        </w:rPr>
        <w:t xml:space="preserve"> </w:t>
      </w:r>
      <w:r w:rsidR="002F7465">
        <w:rPr>
          <w:rFonts w:asciiTheme="minorHAnsi" w:eastAsia="Times New Roman" w:hAnsiTheme="minorHAnsi" w:cstheme="minorHAnsi"/>
          <w:sz w:val="24"/>
          <w:szCs w:val="24"/>
        </w:rPr>
        <w:t>Also,</w:t>
      </w:r>
      <w:r w:rsidR="003F2390" w:rsidRPr="009326AD">
        <w:rPr>
          <w:rFonts w:asciiTheme="minorHAnsi" w:eastAsia="Times New Roman" w:hAnsiTheme="minorHAnsi" w:cstheme="minorHAnsi"/>
          <w:sz w:val="24"/>
          <w:szCs w:val="24"/>
        </w:rPr>
        <w:t xml:space="preserve"> potential students are already awash with </w:t>
      </w:r>
      <w:r w:rsidR="002F7465">
        <w:rPr>
          <w:rFonts w:asciiTheme="minorHAnsi" w:eastAsia="Times New Roman" w:hAnsiTheme="minorHAnsi" w:cstheme="minorHAnsi"/>
          <w:sz w:val="24"/>
          <w:szCs w:val="24"/>
        </w:rPr>
        <w:t xml:space="preserve">information from a variety of </w:t>
      </w:r>
      <w:r w:rsidR="003F2390" w:rsidRPr="009326AD">
        <w:rPr>
          <w:rFonts w:asciiTheme="minorHAnsi" w:eastAsia="Times New Roman" w:hAnsiTheme="minorHAnsi" w:cstheme="minorHAnsi"/>
          <w:sz w:val="24"/>
          <w:szCs w:val="24"/>
        </w:rPr>
        <w:t xml:space="preserve">different sources. We suggest this information is rationalised to </w:t>
      </w:r>
      <w:r w:rsidR="002F7465">
        <w:rPr>
          <w:rFonts w:asciiTheme="minorHAnsi" w:eastAsia="Times New Roman" w:hAnsiTheme="minorHAnsi" w:cstheme="minorHAnsi"/>
          <w:sz w:val="24"/>
          <w:szCs w:val="24"/>
        </w:rPr>
        <w:t>assist</w:t>
      </w:r>
      <w:r w:rsidR="003F2390" w:rsidRPr="009326AD">
        <w:rPr>
          <w:rFonts w:asciiTheme="minorHAnsi" w:eastAsia="Times New Roman" w:hAnsiTheme="minorHAnsi" w:cstheme="minorHAnsi"/>
          <w:sz w:val="24"/>
          <w:szCs w:val="24"/>
        </w:rPr>
        <w:t xml:space="preserve"> potential students. The TEF info</w:t>
      </w:r>
      <w:r w:rsidR="002F7465">
        <w:rPr>
          <w:rFonts w:asciiTheme="minorHAnsi" w:eastAsia="Times New Roman" w:hAnsiTheme="minorHAnsi" w:cstheme="minorHAnsi"/>
          <w:sz w:val="24"/>
          <w:szCs w:val="24"/>
        </w:rPr>
        <w:t>rmation</w:t>
      </w:r>
      <w:r w:rsidR="003F2390" w:rsidRPr="009326AD">
        <w:rPr>
          <w:rFonts w:asciiTheme="minorHAnsi" w:eastAsia="Times New Roman" w:hAnsiTheme="minorHAnsi" w:cstheme="minorHAnsi"/>
          <w:sz w:val="24"/>
          <w:szCs w:val="24"/>
        </w:rPr>
        <w:t xml:space="preserve"> should not just be an additional layer.</w:t>
      </w:r>
    </w:p>
    <w:p w14:paraId="3505988B" w14:textId="77777777" w:rsidR="00E458FA" w:rsidRPr="009326AD" w:rsidRDefault="0041183F" w:rsidP="0061482A">
      <w:pPr>
        <w:spacing w:after="288" w:line="240" w:lineRule="auto"/>
        <w:ind w:left="142"/>
        <w:rPr>
          <w:rFonts w:asciiTheme="minorHAnsi" w:eastAsia="Times New Roman" w:hAnsiTheme="minorHAnsi" w:cstheme="minorHAnsi"/>
          <w:szCs w:val="24"/>
        </w:rPr>
      </w:pPr>
      <w:r w:rsidRPr="009326AD">
        <w:rPr>
          <w:rFonts w:asciiTheme="minorHAnsi" w:eastAsia="Times New Roman" w:hAnsiTheme="minorHAnsi" w:cstheme="minorHAnsi"/>
          <w:szCs w:val="24"/>
        </w:rPr>
        <w:t xml:space="preserve">Employers may benefit from </w:t>
      </w:r>
      <w:r w:rsidR="00D34A0D" w:rsidRPr="009326AD">
        <w:rPr>
          <w:rFonts w:asciiTheme="minorHAnsi" w:eastAsia="Times New Roman" w:hAnsiTheme="minorHAnsi" w:cstheme="minorHAnsi"/>
          <w:szCs w:val="24"/>
        </w:rPr>
        <w:t xml:space="preserve">a focus on employability and </w:t>
      </w:r>
      <w:r w:rsidR="003174C5">
        <w:rPr>
          <w:rFonts w:asciiTheme="minorHAnsi" w:eastAsia="Times New Roman" w:hAnsiTheme="minorHAnsi" w:cstheme="minorHAnsi"/>
          <w:szCs w:val="24"/>
        </w:rPr>
        <w:t xml:space="preserve">from </w:t>
      </w:r>
      <w:r w:rsidR="00D34A0D" w:rsidRPr="009326AD">
        <w:rPr>
          <w:rFonts w:asciiTheme="minorHAnsi" w:eastAsia="Times New Roman" w:hAnsiTheme="minorHAnsi" w:cstheme="minorHAnsi"/>
          <w:szCs w:val="24"/>
        </w:rPr>
        <w:t xml:space="preserve">universities further developing both ‘soft’ and ‘hard’ skills within the curriculum. </w:t>
      </w:r>
    </w:p>
    <w:p w14:paraId="32B9E9EF" w14:textId="77777777" w:rsidR="000B526C" w:rsidRPr="009326AD" w:rsidRDefault="003174C5" w:rsidP="0061482A">
      <w:pPr>
        <w:spacing w:after="288" w:line="240" w:lineRule="auto"/>
        <w:ind w:left="142"/>
        <w:rPr>
          <w:rFonts w:asciiTheme="minorHAnsi" w:eastAsia="Times New Roman" w:hAnsiTheme="minorHAnsi" w:cstheme="minorHAnsi"/>
          <w:szCs w:val="24"/>
        </w:rPr>
      </w:pPr>
      <w:r>
        <w:rPr>
          <w:rFonts w:asciiTheme="minorHAnsi" w:eastAsia="Times New Roman" w:hAnsiTheme="minorHAnsi" w:cstheme="minorHAnsi"/>
          <w:szCs w:val="24"/>
        </w:rPr>
        <w:t xml:space="preserve">The sector </w:t>
      </w:r>
      <w:r w:rsidR="000B526C" w:rsidRPr="009326AD">
        <w:rPr>
          <w:rFonts w:asciiTheme="minorHAnsi" w:eastAsia="Times New Roman" w:hAnsiTheme="minorHAnsi" w:cstheme="minorHAnsi"/>
          <w:szCs w:val="24"/>
        </w:rPr>
        <w:t>already aim</w:t>
      </w:r>
      <w:r>
        <w:rPr>
          <w:rFonts w:asciiTheme="minorHAnsi" w:eastAsia="Times New Roman" w:hAnsiTheme="minorHAnsi" w:cstheme="minorHAnsi"/>
          <w:szCs w:val="24"/>
        </w:rPr>
        <w:t>s</w:t>
      </w:r>
      <w:r w:rsidR="000B526C" w:rsidRPr="009326AD">
        <w:rPr>
          <w:rFonts w:asciiTheme="minorHAnsi" w:eastAsia="Times New Roman" w:hAnsiTheme="minorHAnsi" w:cstheme="minorHAnsi"/>
          <w:szCs w:val="24"/>
        </w:rPr>
        <w:t xml:space="preserve"> to engage employers and professional</w:t>
      </w:r>
      <w:r>
        <w:rPr>
          <w:rFonts w:asciiTheme="minorHAnsi" w:eastAsia="Times New Roman" w:hAnsiTheme="minorHAnsi" w:cstheme="minorHAnsi"/>
          <w:szCs w:val="24"/>
        </w:rPr>
        <w:t>/</w:t>
      </w:r>
      <w:r w:rsidR="000B526C" w:rsidRPr="009326AD">
        <w:rPr>
          <w:rFonts w:asciiTheme="minorHAnsi" w:eastAsia="Times New Roman" w:hAnsiTheme="minorHAnsi" w:cstheme="minorHAnsi"/>
          <w:szCs w:val="24"/>
        </w:rPr>
        <w:t xml:space="preserve"> statutory body representatives in curriculum design. However, such individuals generally focus on quality rather than standards and academic peer review is of the utmost importance to us in protecting standards in the process of programme approval or review. We also feel that we need to avoid simply paying ‘lip-service’ by including an industry representative on a panel and rather look to find ways to achieve a more valuable contribution from a variety of employers or sector representatives. </w:t>
      </w:r>
    </w:p>
    <w:p w14:paraId="21503CB5" w14:textId="77777777" w:rsidR="005D0FBF" w:rsidRPr="00854AE2" w:rsidRDefault="005D0FBF" w:rsidP="0061482A">
      <w:pPr>
        <w:spacing w:after="288" w:line="240" w:lineRule="auto"/>
        <w:ind w:left="142"/>
        <w:rPr>
          <w:rFonts w:asciiTheme="minorHAnsi" w:eastAsia="Times New Roman" w:hAnsiTheme="minorHAnsi" w:cs="Arial"/>
          <w:color w:val="FF0000"/>
          <w:szCs w:val="24"/>
        </w:rPr>
      </w:pPr>
    </w:p>
    <w:p w14:paraId="1E35BF27" w14:textId="77777777"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 xml:space="preserve">Question 3: Do you agree that the ambition for TEF should be that it is open to all HE </w:t>
      </w:r>
      <w:r w:rsidRPr="00E458FA">
        <w:rPr>
          <w:rFonts w:eastAsia="Times New Roman" w:cs="Times New Roman"/>
          <w:szCs w:val="24"/>
        </w:rPr>
        <w:t>providers, all disciplines,</w:t>
      </w:r>
      <w:r w:rsidRPr="00E458FA">
        <w:rPr>
          <w:rFonts w:eastAsia="Times New Roman" w:cs="Arial"/>
          <w:szCs w:val="24"/>
        </w:rPr>
        <w:t xml:space="preserve"> all modes of delivery and all levels?  </w:t>
      </w:r>
    </w:p>
    <w:p w14:paraId="0EF2F504" w14:textId="77777777" w:rsidR="00E458FA" w:rsidRPr="00E458FA" w:rsidRDefault="00E458FA" w:rsidP="00E458FA">
      <w:pPr>
        <w:tabs>
          <w:tab w:val="left" w:pos="567"/>
        </w:tabs>
        <w:spacing w:after="288" w:line="240" w:lineRule="auto"/>
        <w:ind w:left="142"/>
        <w:rPr>
          <w:rFonts w:eastAsia="Times New Roman" w:cs="Times New Roman"/>
          <w:szCs w:val="24"/>
        </w:rPr>
      </w:pPr>
      <w:r w:rsidRPr="00E458FA">
        <w:rPr>
          <w:rFonts w:eastAsia="Times New Roman" w:cs="Times New Roman"/>
          <w:szCs w:val="24"/>
        </w:rPr>
        <w:t xml:space="preserve">         </w:t>
      </w:r>
      <w:sdt>
        <w:sdtPr>
          <w:rPr>
            <w:rFonts w:eastAsia="Times New Roman" w:cs="Times New Roman"/>
            <w:szCs w:val="24"/>
          </w:rPr>
          <w:id w:val="-1229299826"/>
        </w:sdtPr>
        <w:sdtEndPr/>
        <w:sdtContent>
          <w:r w:rsidR="00AF6638">
            <w:rPr>
              <w:rFonts w:ascii="MS Gothic" w:eastAsia="MS Gothic" w:hAnsi="MS Gothic" w:cs="Times New Roman" w:hint="eastAsia"/>
              <w:szCs w:val="24"/>
            </w:rPr>
            <w:t>☒</w:t>
          </w:r>
        </w:sdtContent>
      </w:sdt>
      <w:r w:rsidRPr="00E458FA">
        <w:rPr>
          <w:rFonts w:eastAsia="Times New Roman" w:cs="Times New Roman"/>
          <w:szCs w:val="24"/>
        </w:rPr>
        <w:t xml:space="preserve"> Yes</w:t>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651485986"/>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103392076"/>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w:t>
      </w:r>
      <w:proofErr w:type="gramStart"/>
      <w:r w:rsidRPr="00E458FA">
        <w:rPr>
          <w:rFonts w:eastAsia="Times New Roman" w:cs="Times New Roman"/>
          <w:szCs w:val="24"/>
        </w:rPr>
        <w:t>Not</w:t>
      </w:r>
      <w:proofErr w:type="gramEnd"/>
      <w:r w:rsidRPr="00E458FA">
        <w:rPr>
          <w:rFonts w:eastAsia="Times New Roman" w:cs="Times New Roman"/>
          <w:szCs w:val="24"/>
        </w:rPr>
        <w:t xml:space="preserve"> sure</w:t>
      </w:r>
    </w:p>
    <w:p w14:paraId="19AE56A0" w14:textId="77777777"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lastRenderedPageBreak/>
        <w:t>Please give reasons for your answers.</w:t>
      </w:r>
    </w:p>
    <w:p w14:paraId="503DE621" w14:textId="77777777" w:rsidR="009326AD" w:rsidRPr="009326AD" w:rsidRDefault="00D34A0D" w:rsidP="00E458FA">
      <w:pPr>
        <w:spacing w:after="288" w:line="240" w:lineRule="auto"/>
        <w:ind w:left="142"/>
        <w:rPr>
          <w:rFonts w:asciiTheme="minorHAnsi" w:eastAsia="Times New Roman" w:hAnsiTheme="minorHAnsi" w:cstheme="minorHAnsi"/>
          <w:szCs w:val="24"/>
        </w:rPr>
      </w:pPr>
      <w:r w:rsidRPr="009326AD">
        <w:rPr>
          <w:rFonts w:asciiTheme="minorHAnsi" w:eastAsia="Times New Roman" w:hAnsiTheme="minorHAnsi" w:cstheme="minorHAnsi"/>
          <w:szCs w:val="24"/>
        </w:rPr>
        <w:t xml:space="preserve">This supports other principles described in the paper, particularly around </w:t>
      </w:r>
      <w:r w:rsidR="0061482A" w:rsidRPr="009326AD">
        <w:rPr>
          <w:rFonts w:asciiTheme="minorHAnsi" w:eastAsia="Times New Roman" w:hAnsiTheme="minorHAnsi" w:cstheme="minorHAnsi"/>
          <w:szCs w:val="24"/>
        </w:rPr>
        <w:t>widening</w:t>
      </w:r>
      <w:r w:rsidRPr="009326AD">
        <w:rPr>
          <w:rFonts w:asciiTheme="minorHAnsi" w:eastAsia="Times New Roman" w:hAnsiTheme="minorHAnsi" w:cstheme="minorHAnsi"/>
          <w:szCs w:val="24"/>
        </w:rPr>
        <w:t xml:space="preserve"> participation.</w:t>
      </w:r>
      <w:r w:rsidR="0061482A" w:rsidRPr="009326AD">
        <w:rPr>
          <w:rFonts w:asciiTheme="minorHAnsi" w:eastAsia="Times New Roman" w:hAnsiTheme="minorHAnsi" w:cstheme="minorHAnsi"/>
          <w:szCs w:val="24"/>
        </w:rPr>
        <w:t xml:space="preserve"> However, we are not sure it will achieve stated aims on employability as it would seem to focus on employment through citing DLHE and HMRC matched data as potential metrics. </w:t>
      </w:r>
    </w:p>
    <w:p w14:paraId="71B26E0E" w14:textId="77777777" w:rsidR="00E458FA" w:rsidRPr="009326AD" w:rsidRDefault="008735FA" w:rsidP="00E458FA">
      <w:pPr>
        <w:spacing w:after="288" w:line="240" w:lineRule="auto"/>
        <w:ind w:left="142"/>
        <w:rPr>
          <w:rFonts w:asciiTheme="minorHAnsi" w:eastAsia="Times New Roman" w:hAnsiTheme="minorHAnsi" w:cstheme="minorHAnsi"/>
          <w:szCs w:val="24"/>
        </w:rPr>
      </w:pPr>
      <w:r w:rsidRPr="009326AD">
        <w:rPr>
          <w:rFonts w:asciiTheme="minorHAnsi" w:eastAsia="Times New Roman" w:hAnsiTheme="minorHAnsi" w:cstheme="minorHAnsi"/>
          <w:szCs w:val="24"/>
        </w:rPr>
        <w:t>Not all providers have access to particular datasets and those providers should not be disadvantaged by any final agreement on datasets.</w:t>
      </w:r>
    </w:p>
    <w:p w14:paraId="653508C4" w14:textId="77777777" w:rsidR="009326AD" w:rsidRPr="009326AD" w:rsidRDefault="00854AE2" w:rsidP="009326AD">
      <w:pPr>
        <w:spacing w:after="288" w:line="240" w:lineRule="auto"/>
        <w:ind w:left="142"/>
        <w:rPr>
          <w:rFonts w:asciiTheme="minorHAnsi" w:eastAsia="Times New Roman" w:hAnsiTheme="minorHAnsi" w:cstheme="minorHAnsi"/>
          <w:b/>
          <w:szCs w:val="24"/>
        </w:rPr>
      </w:pPr>
      <w:r w:rsidRPr="009326AD">
        <w:rPr>
          <w:rFonts w:asciiTheme="minorHAnsi" w:eastAsia="Times New Roman" w:hAnsiTheme="minorHAnsi" w:cstheme="minorHAnsi"/>
          <w:szCs w:val="24"/>
        </w:rPr>
        <w:t xml:space="preserve">We are not clear on </w:t>
      </w:r>
      <w:r w:rsidR="003D0022">
        <w:rPr>
          <w:rFonts w:asciiTheme="minorHAnsi" w:eastAsia="Times New Roman" w:hAnsiTheme="minorHAnsi" w:cstheme="minorHAnsi"/>
          <w:szCs w:val="24"/>
        </w:rPr>
        <w:t xml:space="preserve">the proposed </w:t>
      </w:r>
      <w:r w:rsidRPr="009326AD">
        <w:rPr>
          <w:rFonts w:asciiTheme="minorHAnsi" w:eastAsia="Times New Roman" w:hAnsiTheme="minorHAnsi" w:cstheme="minorHAnsi"/>
          <w:szCs w:val="24"/>
        </w:rPr>
        <w:t xml:space="preserve">arrangements for ensuring that the class of degree awarded by higher education providers is consistent across the sector, other than </w:t>
      </w:r>
      <w:r w:rsidR="009326AD" w:rsidRPr="009326AD">
        <w:rPr>
          <w:rFonts w:asciiTheme="minorHAnsi" w:eastAsia="Times New Roman" w:hAnsiTheme="minorHAnsi" w:cstheme="minorHAnsi"/>
          <w:szCs w:val="24"/>
        </w:rPr>
        <w:t xml:space="preserve">the </w:t>
      </w:r>
      <w:r w:rsidRPr="009326AD">
        <w:rPr>
          <w:rFonts w:asciiTheme="minorHAnsi" w:eastAsia="Times New Roman" w:hAnsiTheme="minorHAnsi" w:cstheme="minorHAnsi"/>
          <w:szCs w:val="24"/>
        </w:rPr>
        <w:t>reference to Grade Point Average. However, GPA is not usually simply informed by an assessor’s consideration of a grade</w:t>
      </w:r>
      <w:r w:rsidR="006C7EDF">
        <w:rPr>
          <w:rFonts w:asciiTheme="minorHAnsi" w:eastAsia="Times New Roman" w:hAnsiTheme="minorHAnsi" w:cstheme="minorHAnsi"/>
          <w:szCs w:val="24"/>
        </w:rPr>
        <w:t>,</w:t>
      </w:r>
      <w:r w:rsidRPr="009326AD">
        <w:rPr>
          <w:rFonts w:asciiTheme="minorHAnsi" w:eastAsia="Times New Roman" w:hAnsiTheme="minorHAnsi" w:cstheme="minorHAnsi"/>
          <w:szCs w:val="24"/>
        </w:rPr>
        <w:t xml:space="preserve"> it is informed by standards-based evaluation whereby a student is tested against a standard of what academics, industry, and other stakeholders have determined to be what every student should know and be able to do.</w:t>
      </w:r>
      <w:r w:rsidR="009326AD" w:rsidRPr="009326AD">
        <w:rPr>
          <w:rFonts w:asciiTheme="minorHAnsi" w:eastAsia="Times New Roman" w:hAnsiTheme="minorHAnsi" w:cstheme="minorHAnsi"/>
          <w:szCs w:val="24"/>
        </w:rPr>
        <w:t xml:space="preserve">  We are also concerned that the introduction of a common GPA system would contradict the stated concern to honour the institutional autonomy which has been critical to the strength of UK HE.</w:t>
      </w:r>
      <w:r w:rsidR="009326AD" w:rsidRPr="009326AD">
        <w:rPr>
          <w:rFonts w:asciiTheme="minorHAnsi" w:eastAsia="Times New Roman" w:hAnsiTheme="minorHAnsi" w:cstheme="minorHAnsi"/>
          <w:b/>
          <w:szCs w:val="24"/>
        </w:rPr>
        <w:t xml:space="preserve">  </w:t>
      </w:r>
    </w:p>
    <w:p w14:paraId="3E9E46CE" w14:textId="77777777" w:rsidR="000C2EE1" w:rsidRPr="009326AD" w:rsidRDefault="000C2EE1" w:rsidP="00E458FA">
      <w:pPr>
        <w:spacing w:after="288" w:line="240" w:lineRule="auto"/>
        <w:ind w:left="142"/>
        <w:rPr>
          <w:rFonts w:asciiTheme="minorHAnsi" w:eastAsia="Times New Roman" w:hAnsiTheme="minorHAnsi" w:cstheme="minorHAnsi"/>
          <w:szCs w:val="24"/>
        </w:rPr>
      </w:pPr>
      <w:r w:rsidRPr="009326AD">
        <w:rPr>
          <w:rFonts w:asciiTheme="minorHAnsi" w:eastAsia="Times New Roman" w:hAnsiTheme="minorHAnsi" w:cstheme="minorHAnsi"/>
          <w:szCs w:val="24"/>
        </w:rPr>
        <w:t xml:space="preserve">We note that the Green Paper cites the Higher Education Academy report describing that nearly half of institutions had changed their degree algorithms to; “ensure that their students were not disadvantaged compared to those in other institutions”. </w:t>
      </w:r>
      <w:r w:rsidR="003A299F" w:rsidRPr="009326AD">
        <w:rPr>
          <w:rFonts w:asciiTheme="minorHAnsi" w:eastAsia="Times New Roman" w:hAnsiTheme="minorHAnsi" w:cstheme="minorHAnsi"/>
          <w:szCs w:val="24"/>
        </w:rPr>
        <w:t xml:space="preserve">We are concerned that this is something of a misleading quote; the report actually states that “However, 40% of quality officers report that their institutions have changed their award algorithm(s) in the last five years to ensure that it does not disadvantage students in comparison with those in similar institutions, compared with 43% who report that they have not made such changes… Responses were received from quality officers employed at 98 of the 159 institutions with degree-awarding powers (62%).” </w:t>
      </w:r>
      <w:r w:rsidR="00685EE9" w:rsidRPr="009326AD">
        <w:rPr>
          <w:rFonts w:asciiTheme="minorHAnsi" w:eastAsia="Times New Roman" w:hAnsiTheme="minorHAnsi" w:cstheme="minorHAnsi"/>
          <w:szCs w:val="24"/>
        </w:rPr>
        <w:t>This, then, is not 40% of all institutions but 40% of those that responded; approximately 25%. So, a far less bleak picture than the one painted.</w:t>
      </w:r>
    </w:p>
    <w:p w14:paraId="590F337D" w14:textId="77777777" w:rsidR="005D0FBF" w:rsidRPr="009326AD" w:rsidRDefault="0028777C" w:rsidP="005D0FBF">
      <w:pPr>
        <w:spacing w:after="288" w:line="240" w:lineRule="auto"/>
        <w:ind w:left="142"/>
        <w:rPr>
          <w:rFonts w:asciiTheme="minorHAnsi" w:eastAsia="Times New Roman" w:hAnsiTheme="minorHAnsi" w:cstheme="minorHAnsi"/>
          <w:szCs w:val="24"/>
        </w:rPr>
      </w:pPr>
      <w:r w:rsidRPr="009326AD">
        <w:rPr>
          <w:rFonts w:asciiTheme="minorHAnsi" w:eastAsia="Times New Roman" w:hAnsiTheme="minorHAnsi" w:cstheme="minorHAnsi"/>
          <w:szCs w:val="24"/>
        </w:rPr>
        <w:t xml:space="preserve">The </w:t>
      </w:r>
      <w:r w:rsidR="00A03375" w:rsidRPr="009326AD">
        <w:rPr>
          <w:rFonts w:asciiTheme="minorHAnsi" w:eastAsia="Times New Roman" w:hAnsiTheme="minorHAnsi" w:cstheme="minorHAnsi"/>
          <w:szCs w:val="24"/>
        </w:rPr>
        <w:t xml:space="preserve">Green Paper describes an ambition </w:t>
      </w:r>
      <w:r w:rsidRPr="009326AD">
        <w:rPr>
          <w:rFonts w:asciiTheme="minorHAnsi" w:eastAsia="Times New Roman" w:hAnsiTheme="minorHAnsi" w:cstheme="minorHAnsi"/>
          <w:szCs w:val="24"/>
        </w:rPr>
        <w:t xml:space="preserve">to be open to all levels. The current focus is on the undergraduate cohort and we would welcome views on other </w:t>
      </w:r>
      <w:r w:rsidR="009326AD" w:rsidRPr="009326AD">
        <w:rPr>
          <w:rFonts w:asciiTheme="minorHAnsi" w:eastAsia="Times New Roman" w:hAnsiTheme="minorHAnsi" w:cstheme="minorHAnsi"/>
          <w:szCs w:val="24"/>
        </w:rPr>
        <w:t>student groups</w:t>
      </w:r>
      <w:r w:rsidR="006C7EDF">
        <w:rPr>
          <w:rFonts w:asciiTheme="minorHAnsi" w:eastAsia="Times New Roman" w:hAnsiTheme="minorHAnsi" w:cstheme="minorHAnsi"/>
          <w:szCs w:val="24"/>
        </w:rPr>
        <w:t>,</w:t>
      </w:r>
      <w:r w:rsidRPr="009326AD">
        <w:rPr>
          <w:rFonts w:asciiTheme="minorHAnsi" w:eastAsia="Times New Roman" w:hAnsiTheme="minorHAnsi" w:cstheme="minorHAnsi"/>
          <w:szCs w:val="24"/>
        </w:rPr>
        <w:t xml:space="preserve"> including part-time delivery, delivery to </w:t>
      </w:r>
      <w:r w:rsidR="00A03375" w:rsidRPr="009326AD">
        <w:rPr>
          <w:rFonts w:asciiTheme="minorHAnsi" w:eastAsia="Times New Roman" w:hAnsiTheme="minorHAnsi" w:cstheme="minorHAnsi"/>
          <w:szCs w:val="24"/>
        </w:rPr>
        <w:t>mature</w:t>
      </w:r>
      <w:r w:rsidRPr="009326AD">
        <w:rPr>
          <w:rFonts w:asciiTheme="minorHAnsi" w:eastAsia="Times New Roman" w:hAnsiTheme="minorHAnsi" w:cstheme="minorHAnsi"/>
          <w:szCs w:val="24"/>
        </w:rPr>
        <w:t xml:space="preserve"> students, Post</w:t>
      </w:r>
      <w:r w:rsidR="006C7EDF">
        <w:rPr>
          <w:rFonts w:asciiTheme="minorHAnsi" w:eastAsia="Times New Roman" w:hAnsiTheme="minorHAnsi" w:cstheme="minorHAnsi"/>
          <w:szCs w:val="24"/>
        </w:rPr>
        <w:t>g</w:t>
      </w:r>
      <w:r w:rsidRPr="009326AD">
        <w:rPr>
          <w:rFonts w:asciiTheme="minorHAnsi" w:eastAsia="Times New Roman" w:hAnsiTheme="minorHAnsi" w:cstheme="minorHAnsi"/>
          <w:szCs w:val="24"/>
        </w:rPr>
        <w:t>raduate Taught and Post</w:t>
      </w:r>
      <w:r w:rsidR="006C7EDF">
        <w:rPr>
          <w:rFonts w:asciiTheme="minorHAnsi" w:eastAsia="Times New Roman" w:hAnsiTheme="minorHAnsi" w:cstheme="minorHAnsi"/>
          <w:szCs w:val="24"/>
        </w:rPr>
        <w:t>g</w:t>
      </w:r>
      <w:r w:rsidRPr="009326AD">
        <w:rPr>
          <w:rFonts w:asciiTheme="minorHAnsi" w:eastAsia="Times New Roman" w:hAnsiTheme="minorHAnsi" w:cstheme="minorHAnsi"/>
          <w:szCs w:val="24"/>
        </w:rPr>
        <w:t>raduate Research Degrees.</w:t>
      </w:r>
    </w:p>
    <w:p w14:paraId="37371668" w14:textId="77777777" w:rsidR="005D0FBF" w:rsidRPr="009326AD" w:rsidRDefault="005D0FBF" w:rsidP="005D0FBF">
      <w:pPr>
        <w:spacing w:after="288" w:line="240" w:lineRule="auto"/>
        <w:ind w:left="142"/>
        <w:rPr>
          <w:rFonts w:asciiTheme="minorHAnsi" w:eastAsia="Times New Roman" w:hAnsiTheme="minorHAnsi" w:cs="Arial"/>
          <w:szCs w:val="24"/>
        </w:rPr>
      </w:pPr>
      <w:r w:rsidRPr="009326AD">
        <w:rPr>
          <w:rFonts w:asciiTheme="minorHAnsi" w:eastAsia="Times New Roman" w:hAnsiTheme="minorHAnsi" w:cs="Arial"/>
          <w:szCs w:val="24"/>
        </w:rPr>
        <w:t xml:space="preserve">If the TEF becomes an excessively bureaucratic exercise </w:t>
      </w:r>
      <w:r w:rsidR="006C7EDF">
        <w:rPr>
          <w:rFonts w:asciiTheme="minorHAnsi" w:eastAsia="Times New Roman" w:hAnsiTheme="minorHAnsi" w:cs="Arial"/>
          <w:szCs w:val="24"/>
        </w:rPr>
        <w:t>it</w:t>
      </w:r>
      <w:r w:rsidRPr="009326AD">
        <w:rPr>
          <w:rFonts w:asciiTheme="minorHAnsi" w:eastAsia="Times New Roman" w:hAnsiTheme="minorHAnsi" w:cs="Arial"/>
          <w:szCs w:val="24"/>
        </w:rPr>
        <w:t xml:space="preserve"> </w:t>
      </w:r>
      <w:r w:rsidR="006C7EDF">
        <w:rPr>
          <w:rFonts w:asciiTheme="minorHAnsi" w:eastAsia="Times New Roman" w:hAnsiTheme="minorHAnsi" w:cs="Arial"/>
          <w:szCs w:val="24"/>
        </w:rPr>
        <w:t>act as</w:t>
      </w:r>
      <w:r w:rsidRPr="009326AD">
        <w:rPr>
          <w:rFonts w:asciiTheme="minorHAnsi" w:eastAsia="Times New Roman" w:hAnsiTheme="minorHAnsi" w:cs="Arial"/>
          <w:szCs w:val="24"/>
        </w:rPr>
        <w:t xml:space="preserve"> a disincentive to smaller providers.</w:t>
      </w:r>
    </w:p>
    <w:p w14:paraId="57635F02" w14:textId="77777777" w:rsidR="005D0FBF" w:rsidRPr="0028777C" w:rsidRDefault="005D0FBF" w:rsidP="00E458FA">
      <w:pPr>
        <w:spacing w:after="288" w:line="240" w:lineRule="auto"/>
        <w:ind w:left="142"/>
        <w:rPr>
          <w:rFonts w:asciiTheme="minorHAnsi" w:eastAsia="Times New Roman" w:hAnsiTheme="minorHAnsi" w:cs="Arial"/>
          <w:color w:val="5F497A" w:themeColor="accent4" w:themeShade="BF"/>
          <w:szCs w:val="24"/>
        </w:rPr>
      </w:pPr>
    </w:p>
    <w:p w14:paraId="1A40B7A8" w14:textId="77777777" w:rsidR="00E458FA" w:rsidRPr="00E458FA" w:rsidRDefault="00E458FA" w:rsidP="00E458FA">
      <w:pPr>
        <w:spacing w:after="288" w:line="240" w:lineRule="auto"/>
        <w:ind w:left="142"/>
        <w:rPr>
          <w:rFonts w:eastAsia="Times New Roman" w:cs="Times New Roman"/>
          <w:szCs w:val="24"/>
        </w:rPr>
      </w:pPr>
      <w:r w:rsidRPr="00E458FA">
        <w:rPr>
          <w:rFonts w:eastAsia="Times New Roman" w:cs="Times New Roman"/>
          <w:szCs w:val="24"/>
        </w:rPr>
        <w:t>Question 4: Where relevant, should an approved Access Agreement be a pre-requisite for a TEF award? What other mechanism might be used for different types of providers?</w:t>
      </w:r>
    </w:p>
    <w:p w14:paraId="3FD25909" w14:textId="77777777" w:rsidR="00E458FA" w:rsidRPr="00861E83" w:rsidRDefault="0041183F" w:rsidP="00A93226">
      <w:pPr>
        <w:spacing w:after="288" w:line="240" w:lineRule="auto"/>
        <w:ind w:left="142"/>
        <w:rPr>
          <w:rFonts w:asciiTheme="minorHAnsi" w:eastAsia="Times New Roman" w:hAnsiTheme="minorHAnsi" w:cstheme="minorHAnsi"/>
          <w:szCs w:val="24"/>
        </w:rPr>
      </w:pPr>
      <w:r w:rsidRPr="00861E83">
        <w:rPr>
          <w:rFonts w:asciiTheme="minorHAnsi" w:eastAsia="Times New Roman" w:hAnsiTheme="minorHAnsi" w:cstheme="minorHAnsi"/>
          <w:szCs w:val="24"/>
        </w:rPr>
        <w:lastRenderedPageBreak/>
        <w:t>Yes; this would support the ambition to support widening participation</w:t>
      </w:r>
      <w:r w:rsidR="00A93226" w:rsidRPr="00861E83">
        <w:rPr>
          <w:rFonts w:asciiTheme="minorHAnsi" w:eastAsia="Times New Roman" w:hAnsiTheme="minorHAnsi" w:cstheme="minorHAnsi"/>
          <w:szCs w:val="24"/>
        </w:rPr>
        <w:t xml:space="preserve"> for disadvantaged students</w:t>
      </w:r>
      <w:r w:rsidRPr="00861E83">
        <w:rPr>
          <w:rFonts w:asciiTheme="minorHAnsi" w:eastAsia="Times New Roman" w:hAnsiTheme="minorHAnsi" w:cstheme="minorHAnsi"/>
          <w:szCs w:val="24"/>
        </w:rPr>
        <w:t xml:space="preserve"> further.</w:t>
      </w:r>
      <w:r w:rsidR="008735FA" w:rsidRPr="00861E83">
        <w:rPr>
          <w:rFonts w:asciiTheme="minorHAnsi" w:eastAsia="Times New Roman" w:hAnsiTheme="minorHAnsi" w:cstheme="minorHAnsi"/>
          <w:szCs w:val="24"/>
        </w:rPr>
        <w:t xml:space="preserve"> However, Access Agreements might do more to encourage social mobility; we are not convinced there is evidence to prove that such have been entirely successful.</w:t>
      </w:r>
      <w:r w:rsidR="001A2EBB" w:rsidRPr="00861E83">
        <w:rPr>
          <w:rFonts w:asciiTheme="minorHAnsi" w:eastAsia="Times New Roman" w:hAnsiTheme="minorHAnsi" w:cstheme="minorHAnsi"/>
          <w:szCs w:val="24"/>
        </w:rPr>
        <w:t xml:space="preserve"> </w:t>
      </w:r>
      <w:r w:rsidR="006C7EDF">
        <w:rPr>
          <w:rFonts w:asciiTheme="minorHAnsi" w:eastAsia="Times New Roman" w:hAnsiTheme="minorHAnsi" w:cstheme="minorHAnsi"/>
          <w:szCs w:val="24"/>
        </w:rPr>
        <w:t>Also, a</w:t>
      </w:r>
      <w:r w:rsidR="001A2EBB" w:rsidRPr="00861E83">
        <w:rPr>
          <w:rFonts w:asciiTheme="minorHAnsi" w:eastAsia="Times New Roman" w:hAnsiTheme="minorHAnsi" w:cstheme="minorHAnsi"/>
          <w:szCs w:val="24"/>
        </w:rPr>
        <w:t>greements are not in place across the UK</w:t>
      </w:r>
      <w:r w:rsidR="006C7EDF">
        <w:rPr>
          <w:rFonts w:asciiTheme="minorHAnsi" w:eastAsia="Times New Roman" w:hAnsiTheme="minorHAnsi" w:cstheme="minorHAnsi"/>
          <w:szCs w:val="24"/>
        </w:rPr>
        <w:t>;</w:t>
      </w:r>
      <w:r w:rsidR="001A2EBB" w:rsidRPr="00861E83">
        <w:rPr>
          <w:rFonts w:asciiTheme="minorHAnsi" w:eastAsia="Times New Roman" w:hAnsiTheme="minorHAnsi" w:cstheme="minorHAnsi"/>
          <w:szCs w:val="24"/>
        </w:rPr>
        <w:t xml:space="preserve"> there is no requirement in Wales, for example</w:t>
      </w:r>
      <w:r w:rsidR="00861E83" w:rsidRPr="00861E83">
        <w:rPr>
          <w:rFonts w:asciiTheme="minorHAnsi" w:eastAsia="Times New Roman" w:hAnsiTheme="minorHAnsi" w:cstheme="minorHAnsi"/>
          <w:szCs w:val="24"/>
        </w:rPr>
        <w:t>, and Scotland has its own arrangements for promoting widening access.</w:t>
      </w:r>
      <w:r w:rsidR="001A2EBB" w:rsidRPr="00861E83">
        <w:rPr>
          <w:rFonts w:asciiTheme="minorHAnsi" w:eastAsia="Times New Roman" w:hAnsiTheme="minorHAnsi" w:cstheme="minorHAnsi"/>
          <w:szCs w:val="24"/>
        </w:rPr>
        <w:t xml:space="preserve"> It is not clear how the proposals will continue to support a unified framework across the whole of the UK, which is something we would support. </w:t>
      </w:r>
    </w:p>
    <w:p w14:paraId="03AE802C" w14:textId="77777777" w:rsidR="00A03375" w:rsidRPr="00861E83" w:rsidRDefault="00A03375" w:rsidP="00A93226">
      <w:pPr>
        <w:spacing w:after="288" w:line="240" w:lineRule="auto"/>
        <w:ind w:left="142"/>
        <w:rPr>
          <w:rFonts w:asciiTheme="minorHAnsi" w:eastAsia="Times New Roman" w:hAnsiTheme="minorHAnsi" w:cstheme="minorHAnsi"/>
          <w:szCs w:val="24"/>
        </w:rPr>
      </w:pPr>
      <w:r w:rsidRPr="00861E83">
        <w:rPr>
          <w:rFonts w:asciiTheme="minorHAnsi" w:eastAsia="Times New Roman" w:hAnsiTheme="minorHAnsi" w:cstheme="minorHAnsi"/>
          <w:szCs w:val="24"/>
        </w:rPr>
        <w:t xml:space="preserve">We would welcome further information on the impact measurements proposed to </w:t>
      </w:r>
      <w:r w:rsidR="006C7EDF">
        <w:rPr>
          <w:rFonts w:asciiTheme="minorHAnsi" w:eastAsia="Times New Roman" w:hAnsiTheme="minorHAnsi" w:cstheme="minorHAnsi"/>
          <w:szCs w:val="24"/>
        </w:rPr>
        <w:t xml:space="preserve">gauge </w:t>
      </w:r>
      <w:r w:rsidRPr="00861E83">
        <w:rPr>
          <w:rFonts w:asciiTheme="minorHAnsi" w:eastAsia="Times New Roman" w:hAnsiTheme="minorHAnsi" w:cstheme="minorHAnsi"/>
          <w:szCs w:val="24"/>
        </w:rPr>
        <w:t>support for students from disadvantaged backgrounds and potentially greater ‘learning gain’ for these cohorts of students.</w:t>
      </w:r>
    </w:p>
    <w:p w14:paraId="5877B98D" w14:textId="77777777" w:rsidR="00A03375" w:rsidRPr="00861E83" w:rsidRDefault="00A03375" w:rsidP="00A03375">
      <w:pPr>
        <w:spacing w:after="288" w:line="240" w:lineRule="auto"/>
        <w:ind w:left="142"/>
        <w:rPr>
          <w:rFonts w:asciiTheme="minorHAnsi" w:eastAsia="Times New Roman" w:hAnsiTheme="minorHAnsi" w:cstheme="minorHAnsi"/>
          <w:szCs w:val="24"/>
        </w:rPr>
      </w:pPr>
      <w:r w:rsidRPr="00861E83">
        <w:rPr>
          <w:rFonts w:asciiTheme="minorHAnsi" w:eastAsia="Times New Roman" w:hAnsiTheme="minorHAnsi" w:cstheme="minorHAnsi"/>
          <w:szCs w:val="24"/>
        </w:rPr>
        <w:t xml:space="preserve">We </w:t>
      </w:r>
      <w:r w:rsidR="00861E83" w:rsidRPr="00861E83">
        <w:rPr>
          <w:rFonts w:asciiTheme="minorHAnsi" w:eastAsia="Times New Roman" w:hAnsiTheme="minorHAnsi" w:cstheme="minorHAnsi"/>
          <w:szCs w:val="24"/>
        </w:rPr>
        <w:t xml:space="preserve">would </w:t>
      </w:r>
      <w:r w:rsidRPr="00861E83">
        <w:rPr>
          <w:rFonts w:asciiTheme="minorHAnsi" w:eastAsia="Times New Roman" w:hAnsiTheme="minorHAnsi" w:cstheme="minorHAnsi"/>
          <w:szCs w:val="24"/>
        </w:rPr>
        <w:t>welcome further guidance on the proposed linkage of the Access Agreement to teaching excellence. Are we able to use additional fee income for example to pay for academic staff, HEA fellowship or increase academic disciplinary competence through CPD? A more coherent approach is required for al</w:t>
      </w:r>
      <w:r w:rsidR="006C7EDF">
        <w:rPr>
          <w:rFonts w:asciiTheme="minorHAnsi" w:eastAsia="Times New Roman" w:hAnsiTheme="minorHAnsi" w:cstheme="minorHAnsi"/>
          <w:szCs w:val="24"/>
        </w:rPr>
        <w:t>l</w:t>
      </w:r>
      <w:r w:rsidRPr="00861E83">
        <w:rPr>
          <w:rFonts w:asciiTheme="minorHAnsi" w:eastAsia="Times New Roman" w:hAnsiTheme="minorHAnsi" w:cstheme="minorHAnsi"/>
          <w:szCs w:val="24"/>
        </w:rPr>
        <w:t xml:space="preserve"> Higher Education providers including Alternative </w:t>
      </w:r>
      <w:r w:rsidR="006C7EDF">
        <w:rPr>
          <w:rFonts w:asciiTheme="minorHAnsi" w:eastAsia="Times New Roman" w:hAnsiTheme="minorHAnsi" w:cstheme="minorHAnsi"/>
          <w:szCs w:val="24"/>
        </w:rPr>
        <w:t>P</w:t>
      </w:r>
      <w:r w:rsidRPr="00861E83">
        <w:rPr>
          <w:rFonts w:asciiTheme="minorHAnsi" w:eastAsia="Times New Roman" w:hAnsiTheme="minorHAnsi" w:cstheme="minorHAnsi"/>
          <w:szCs w:val="24"/>
        </w:rPr>
        <w:t>roviders</w:t>
      </w:r>
      <w:r w:rsidR="006C7EDF">
        <w:rPr>
          <w:rFonts w:asciiTheme="minorHAnsi" w:eastAsia="Times New Roman" w:hAnsiTheme="minorHAnsi" w:cstheme="minorHAnsi"/>
          <w:szCs w:val="24"/>
        </w:rPr>
        <w:t>,</w:t>
      </w:r>
      <w:r w:rsidRPr="00861E83">
        <w:rPr>
          <w:rFonts w:asciiTheme="minorHAnsi" w:eastAsia="Times New Roman" w:hAnsiTheme="minorHAnsi" w:cstheme="minorHAnsi"/>
          <w:szCs w:val="24"/>
        </w:rPr>
        <w:t xml:space="preserve"> who are currently required to provide an ‘alternative statement’.</w:t>
      </w:r>
    </w:p>
    <w:p w14:paraId="04163E74" w14:textId="77777777" w:rsidR="00A45033" w:rsidRPr="00861E83" w:rsidRDefault="00A45033" w:rsidP="00861E83">
      <w:pPr>
        <w:ind w:left="142"/>
        <w:rPr>
          <w:rFonts w:asciiTheme="minorHAnsi" w:hAnsiTheme="minorHAnsi" w:cstheme="minorHAnsi"/>
        </w:rPr>
      </w:pPr>
      <w:r w:rsidRPr="00861E83">
        <w:rPr>
          <w:rFonts w:asciiTheme="minorHAnsi" w:hAnsiTheme="minorHAnsi" w:cstheme="minorHAnsi"/>
        </w:rPr>
        <w:t xml:space="preserve">If a TEF award is to remain dependent upon an Access Agreement, this would immediately eliminate those Alternative Providers without DAPs and those without a Memorandum of Assurance and Accountability with HEFCE, both of which require an access agreement as </w:t>
      </w:r>
      <w:proofErr w:type="gramStart"/>
      <w:r w:rsidRPr="00861E83">
        <w:rPr>
          <w:rFonts w:asciiTheme="minorHAnsi" w:hAnsiTheme="minorHAnsi" w:cstheme="minorHAnsi"/>
        </w:rPr>
        <w:t>a condition of HEFCE grant</w:t>
      </w:r>
      <w:proofErr w:type="gramEnd"/>
      <w:r w:rsidRPr="00861E83">
        <w:rPr>
          <w:rFonts w:asciiTheme="minorHAnsi" w:hAnsiTheme="minorHAnsi" w:cstheme="minorHAnsi"/>
        </w:rPr>
        <w:t xml:space="preserve"> funding and charging fees of up to £9000. </w:t>
      </w:r>
    </w:p>
    <w:p w14:paraId="64668EA7" w14:textId="77777777" w:rsidR="00A45033" w:rsidRPr="00861E83" w:rsidRDefault="00A45033" w:rsidP="00861E83">
      <w:pPr>
        <w:ind w:left="142"/>
        <w:rPr>
          <w:rFonts w:asciiTheme="minorHAnsi" w:hAnsiTheme="minorHAnsi" w:cstheme="minorHAnsi"/>
        </w:rPr>
      </w:pPr>
      <w:r w:rsidRPr="00861E83">
        <w:rPr>
          <w:rFonts w:asciiTheme="minorHAnsi" w:hAnsiTheme="minorHAnsi" w:cstheme="minorHAnsi"/>
        </w:rPr>
        <w:t>The Consultation Document is silent on what is to become of the MAA, which essentially satisfies the Funding Council that the financial sustainability, management and governance arrangements are in place to manage public funds (taxpayer’s money).</w:t>
      </w:r>
    </w:p>
    <w:p w14:paraId="4D7B8471" w14:textId="77777777" w:rsidR="00A45033" w:rsidRPr="00861E83" w:rsidRDefault="00A45033" w:rsidP="00861E83">
      <w:pPr>
        <w:ind w:left="142"/>
        <w:rPr>
          <w:rFonts w:asciiTheme="minorHAnsi" w:hAnsiTheme="minorHAnsi" w:cstheme="minorHAnsi"/>
        </w:rPr>
      </w:pPr>
      <w:r w:rsidRPr="00861E83">
        <w:rPr>
          <w:rFonts w:asciiTheme="minorHAnsi" w:hAnsiTheme="minorHAnsi" w:cstheme="minorHAnsi"/>
        </w:rPr>
        <w:t xml:space="preserve">To introduce </w:t>
      </w:r>
      <w:r w:rsidR="006C7EDF">
        <w:rPr>
          <w:rFonts w:asciiTheme="minorHAnsi" w:hAnsiTheme="minorHAnsi" w:cstheme="minorHAnsi"/>
        </w:rPr>
        <w:t>‘ano</w:t>
      </w:r>
      <w:r w:rsidRPr="00861E83">
        <w:rPr>
          <w:rFonts w:asciiTheme="minorHAnsi" w:hAnsiTheme="minorHAnsi" w:cstheme="minorHAnsi"/>
        </w:rPr>
        <w:t>ther mechanism’ to decouple the Access Agreement from an assessment of financial probity which only applies to a sub-set of HE providers – those without degree awarding powers or a HEFCE  MAA – begs the question why the access agreement is linked to increased fees in the first place.  This creates the opportunity to open up debate on the purpose and focus of an access agreement and perhaps to widen its application to include evidence of teaching quality through recognised qualifications and CPD.  This would be in keeping with the ‘universal’ approach to support teaching and learning for those with specific learning disabilities, health conditions and other protected characteristics and would be a proxy for an institution’s Equality Duty.</w:t>
      </w:r>
    </w:p>
    <w:p w14:paraId="1694D2D9" w14:textId="77777777" w:rsidR="00B26A91" w:rsidRPr="00861E83" w:rsidRDefault="00B26A91" w:rsidP="00861E83">
      <w:pPr>
        <w:ind w:left="142"/>
        <w:rPr>
          <w:rFonts w:asciiTheme="minorHAnsi" w:eastAsia="Times New Roman" w:hAnsiTheme="minorHAnsi" w:cstheme="minorHAnsi"/>
          <w:szCs w:val="24"/>
        </w:rPr>
      </w:pPr>
      <w:r w:rsidRPr="00861E83">
        <w:rPr>
          <w:rFonts w:asciiTheme="minorHAnsi" w:eastAsia="Times New Roman" w:hAnsiTheme="minorHAnsi" w:cstheme="minorHAnsi"/>
          <w:szCs w:val="24"/>
        </w:rPr>
        <w:t xml:space="preserve">We are not clear how consideration might be given to use of the Quality </w:t>
      </w:r>
      <w:r w:rsidR="00A03375" w:rsidRPr="00861E83">
        <w:rPr>
          <w:rFonts w:asciiTheme="minorHAnsi" w:eastAsia="Times New Roman" w:hAnsiTheme="minorHAnsi" w:cstheme="minorHAnsi"/>
          <w:szCs w:val="24"/>
        </w:rPr>
        <w:t>Code</w:t>
      </w:r>
      <w:r w:rsidRPr="00861E83">
        <w:rPr>
          <w:rFonts w:asciiTheme="minorHAnsi" w:eastAsia="Times New Roman" w:hAnsiTheme="minorHAnsi" w:cstheme="minorHAnsi"/>
          <w:szCs w:val="24"/>
        </w:rPr>
        <w:t xml:space="preserve"> or the Framework for Higher Education Qualifications.</w:t>
      </w:r>
    </w:p>
    <w:p w14:paraId="6669829B" w14:textId="77777777" w:rsidR="00E458FA" w:rsidRPr="00E458FA" w:rsidRDefault="00E458FA" w:rsidP="00E458FA">
      <w:pPr>
        <w:spacing w:after="288" w:line="240" w:lineRule="auto"/>
        <w:ind w:left="142"/>
        <w:rPr>
          <w:rFonts w:eastAsia="Times New Roman" w:cs="Arial"/>
          <w:szCs w:val="24"/>
        </w:rPr>
      </w:pPr>
      <w:r w:rsidRPr="00E458FA">
        <w:rPr>
          <w:rFonts w:eastAsia="Times New Roman" w:cs="Arial"/>
          <w:szCs w:val="24"/>
        </w:rPr>
        <w:t>Question 5: Do you agree with the proposals on:</w:t>
      </w:r>
    </w:p>
    <w:p w14:paraId="78C461DA" w14:textId="77777777" w:rsidR="00E458FA" w:rsidRPr="00E458FA" w:rsidRDefault="00E458FA" w:rsidP="00E458FA">
      <w:pPr>
        <w:numPr>
          <w:ilvl w:val="0"/>
          <w:numId w:val="18"/>
        </w:numPr>
        <w:tabs>
          <w:tab w:val="left" w:pos="567"/>
        </w:tabs>
        <w:spacing w:after="288" w:line="240" w:lineRule="auto"/>
        <w:ind w:right="11"/>
        <w:rPr>
          <w:rFonts w:eastAsia="Times New Roman" w:cs="Times New Roman"/>
          <w:bCs/>
          <w:iCs/>
          <w:szCs w:val="24"/>
        </w:rPr>
      </w:pPr>
      <w:r w:rsidRPr="00E458FA">
        <w:rPr>
          <w:rFonts w:eastAsia="Times New Roman" w:cs="Arial"/>
          <w:szCs w:val="24"/>
        </w:rPr>
        <w:t>what would constitute a ‘successful’ QA review</w:t>
      </w:r>
    </w:p>
    <w:p w14:paraId="20EAD777" w14:textId="77777777" w:rsidR="00E458FA" w:rsidRPr="00E458FA" w:rsidRDefault="00E458FA" w:rsidP="00E458FA">
      <w:pPr>
        <w:tabs>
          <w:tab w:val="left" w:pos="567"/>
        </w:tabs>
        <w:spacing w:after="288" w:line="240" w:lineRule="auto"/>
        <w:ind w:left="142"/>
        <w:rPr>
          <w:rFonts w:eastAsia="Times New Roman" w:cs="Times New Roman"/>
          <w:szCs w:val="24"/>
        </w:rPr>
      </w:pPr>
      <w:r w:rsidRPr="00E458FA">
        <w:rPr>
          <w:rFonts w:eastAsia="Times New Roman" w:cs="Times New Roman"/>
          <w:szCs w:val="24"/>
        </w:rPr>
        <w:t xml:space="preserve">      </w:t>
      </w:r>
      <w:sdt>
        <w:sdtPr>
          <w:rPr>
            <w:rFonts w:ascii="MS Gothic" w:eastAsia="MS Gothic" w:hAnsi="MS Gothic" w:cs="Times New Roman"/>
            <w:szCs w:val="24"/>
          </w:rPr>
          <w:id w:val="-950312694"/>
        </w:sdtPr>
        <w:sdtEndPr/>
        <w:sdtContent>
          <w:r w:rsidR="00AF6638">
            <w:rPr>
              <w:rFonts w:ascii="MS Gothic" w:eastAsia="MS Gothic" w:hAnsi="MS Gothic" w:cs="Times New Roman" w:hint="eastAsia"/>
              <w:szCs w:val="24"/>
            </w:rPr>
            <w:t>☒</w:t>
          </w:r>
        </w:sdtContent>
      </w:sdt>
      <w:r w:rsidRPr="00E458FA">
        <w:rPr>
          <w:rFonts w:eastAsia="Times New Roman" w:cs="Times New Roman"/>
          <w:szCs w:val="24"/>
        </w:rPr>
        <w:t xml:space="preserve"> Yes</w:t>
      </w:r>
      <w:r w:rsidRPr="00E458FA">
        <w:rPr>
          <w:rFonts w:eastAsia="Times New Roman" w:cs="Times New Roman"/>
          <w:szCs w:val="24"/>
        </w:rPr>
        <w:tab/>
      </w:r>
      <w:r w:rsidRPr="00E458FA">
        <w:rPr>
          <w:rFonts w:eastAsia="Times New Roman" w:cs="Times New Roman"/>
          <w:szCs w:val="24"/>
        </w:rPr>
        <w:tab/>
      </w:r>
      <w:sdt>
        <w:sdtPr>
          <w:rPr>
            <w:rFonts w:ascii="MS Gothic" w:eastAsia="MS Gothic" w:hAnsi="MS Gothic" w:cs="Times New Roman"/>
            <w:szCs w:val="24"/>
          </w:rPr>
          <w:id w:val="381915664"/>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ascii="MS Gothic" w:eastAsia="MS Gothic" w:hAnsi="MS Gothic" w:cs="Times New Roman"/>
            <w:szCs w:val="24"/>
          </w:rPr>
          <w:id w:val="-899519437"/>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w:t>
      </w:r>
      <w:proofErr w:type="gramStart"/>
      <w:r w:rsidRPr="00E458FA">
        <w:rPr>
          <w:rFonts w:eastAsia="Times New Roman" w:cs="Times New Roman"/>
          <w:szCs w:val="24"/>
        </w:rPr>
        <w:t>Not</w:t>
      </w:r>
      <w:proofErr w:type="gramEnd"/>
      <w:r w:rsidRPr="00E458FA">
        <w:rPr>
          <w:rFonts w:eastAsia="Times New Roman" w:cs="Times New Roman"/>
          <w:szCs w:val="24"/>
        </w:rPr>
        <w:t xml:space="preserve"> sure</w:t>
      </w:r>
    </w:p>
    <w:p w14:paraId="6C58C007" w14:textId="77777777" w:rsidR="00E458FA" w:rsidRPr="00E458FA" w:rsidRDefault="00E458FA" w:rsidP="00E458FA">
      <w:pPr>
        <w:numPr>
          <w:ilvl w:val="0"/>
          <w:numId w:val="18"/>
        </w:numPr>
        <w:tabs>
          <w:tab w:val="left" w:pos="567"/>
        </w:tabs>
        <w:spacing w:after="288" w:line="240" w:lineRule="auto"/>
        <w:ind w:right="11"/>
        <w:rPr>
          <w:rFonts w:eastAsia="Times New Roman" w:cs="Times New Roman"/>
          <w:bCs/>
          <w:iCs/>
          <w:szCs w:val="24"/>
        </w:rPr>
      </w:pPr>
      <w:r w:rsidRPr="00E458FA">
        <w:rPr>
          <w:rFonts w:eastAsia="Times New Roman" w:cs="Arial"/>
          <w:szCs w:val="24"/>
        </w:rPr>
        <w:lastRenderedPageBreak/>
        <w:t xml:space="preserve"> the incentives that should be open to alternative providers for the first year of the TEF</w:t>
      </w:r>
      <w:r w:rsidRPr="00E458FA">
        <w:rPr>
          <w:rFonts w:eastAsia="Times New Roman" w:cs="Times New Roman"/>
          <w:szCs w:val="24"/>
        </w:rPr>
        <w:t xml:space="preserve">  </w:t>
      </w:r>
    </w:p>
    <w:p w14:paraId="23CBB78B" w14:textId="77777777" w:rsidR="00E458FA" w:rsidRPr="00E458FA" w:rsidRDefault="00E458FA" w:rsidP="00E458FA">
      <w:pPr>
        <w:tabs>
          <w:tab w:val="left" w:pos="567"/>
        </w:tabs>
        <w:ind w:left="142" w:right="11"/>
        <w:rPr>
          <w:rFonts w:eastAsia="Times New Roman" w:cs="Times New Roman"/>
          <w:bCs/>
          <w:iCs/>
          <w:szCs w:val="24"/>
        </w:rPr>
      </w:pPr>
      <w:r w:rsidRPr="00E458FA">
        <w:rPr>
          <w:rFonts w:eastAsia="Times New Roman" w:cs="Times New Roman"/>
          <w:szCs w:val="24"/>
        </w:rPr>
        <w:t xml:space="preserve">      </w:t>
      </w:r>
      <w:sdt>
        <w:sdtPr>
          <w:rPr>
            <w:rFonts w:ascii="MS Gothic" w:eastAsia="MS Gothic" w:hAnsi="MS Gothic" w:cs="Times New Roman"/>
            <w:szCs w:val="24"/>
          </w:rPr>
          <w:id w:val="-1967105991"/>
        </w:sdtPr>
        <w:sdtEndPr/>
        <w:sdtContent>
          <w:r w:rsidR="00AF6638">
            <w:rPr>
              <w:rFonts w:ascii="MS Gothic" w:eastAsia="MS Gothic" w:hAnsi="MS Gothic" w:cs="Times New Roman" w:hint="eastAsia"/>
              <w:szCs w:val="24"/>
            </w:rPr>
            <w:t>☒</w:t>
          </w:r>
        </w:sdtContent>
      </w:sdt>
      <w:r w:rsidRPr="00E458FA">
        <w:rPr>
          <w:rFonts w:eastAsia="Times New Roman" w:cs="Times New Roman"/>
          <w:szCs w:val="24"/>
        </w:rPr>
        <w:t xml:space="preserve"> Yes</w:t>
      </w:r>
      <w:r w:rsidRPr="00E458FA">
        <w:rPr>
          <w:rFonts w:eastAsia="Times New Roman" w:cs="Times New Roman"/>
          <w:szCs w:val="24"/>
        </w:rPr>
        <w:tab/>
      </w:r>
      <w:r w:rsidRPr="00E458FA">
        <w:rPr>
          <w:rFonts w:eastAsia="Times New Roman" w:cs="Times New Roman"/>
          <w:szCs w:val="24"/>
        </w:rPr>
        <w:tab/>
      </w:r>
      <w:sdt>
        <w:sdtPr>
          <w:rPr>
            <w:rFonts w:ascii="MS Gothic" w:eastAsia="MS Gothic" w:hAnsi="MS Gothic" w:cs="Times New Roman"/>
            <w:szCs w:val="24"/>
          </w:rPr>
          <w:id w:val="-926498302"/>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ascii="MS Gothic" w:eastAsia="MS Gothic" w:hAnsi="MS Gothic" w:cs="Times New Roman"/>
            <w:szCs w:val="24"/>
          </w:rPr>
          <w:id w:val="792709897"/>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w:t>
      </w:r>
      <w:proofErr w:type="gramStart"/>
      <w:r w:rsidRPr="00E458FA">
        <w:rPr>
          <w:rFonts w:eastAsia="Times New Roman" w:cs="Times New Roman"/>
          <w:szCs w:val="24"/>
        </w:rPr>
        <w:t>Not</w:t>
      </w:r>
      <w:proofErr w:type="gramEnd"/>
      <w:r w:rsidRPr="00E458FA">
        <w:rPr>
          <w:rFonts w:eastAsia="Times New Roman" w:cs="Times New Roman"/>
          <w:szCs w:val="24"/>
        </w:rPr>
        <w:t xml:space="preserve"> sure</w:t>
      </w:r>
    </w:p>
    <w:p w14:paraId="594D11A8" w14:textId="77777777" w:rsidR="00E458FA" w:rsidRPr="00E458FA" w:rsidRDefault="00E458FA" w:rsidP="00E458FA">
      <w:pPr>
        <w:numPr>
          <w:ilvl w:val="0"/>
          <w:numId w:val="18"/>
        </w:numPr>
        <w:tabs>
          <w:tab w:val="left" w:pos="567"/>
        </w:tabs>
        <w:spacing w:after="288" w:line="240" w:lineRule="auto"/>
        <w:ind w:right="11"/>
        <w:rPr>
          <w:rFonts w:eastAsia="Times New Roman" w:cs="Times New Roman"/>
          <w:bCs/>
          <w:iCs/>
          <w:szCs w:val="24"/>
        </w:rPr>
      </w:pPr>
      <w:proofErr w:type="gramStart"/>
      <w:r w:rsidRPr="00E458FA">
        <w:rPr>
          <w:rFonts w:eastAsia="Times New Roman" w:cs="Arial"/>
          <w:szCs w:val="24"/>
        </w:rPr>
        <w:t>the</w:t>
      </w:r>
      <w:proofErr w:type="gramEnd"/>
      <w:r w:rsidRPr="00E458FA">
        <w:rPr>
          <w:rFonts w:eastAsia="Times New Roman" w:cs="Arial"/>
          <w:szCs w:val="24"/>
        </w:rPr>
        <w:t xml:space="preserve"> proposal to move to differentiated levels of TEF from year two? </w:t>
      </w:r>
    </w:p>
    <w:p w14:paraId="7CAB42C7" w14:textId="77777777" w:rsidR="00E458FA" w:rsidRPr="00E458FA" w:rsidRDefault="00E458FA" w:rsidP="00E458FA">
      <w:pPr>
        <w:tabs>
          <w:tab w:val="left" w:pos="567"/>
        </w:tabs>
        <w:spacing w:after="288" w:line="240" w:lineRule="auto"/>
        <w:ind w:left="142"/>
        <w:rPr>
          <w:rFonts w:eastAsia="Times New Roman" w:cs="Times New Roman"/>
          <w:szCs w:val="24"/>
        </w:rPr>
      </w:pPr>
      <w:r w:rsidRPr="00E458FA">
        <w:rPr>
          <w:rFonts w:ascii="MS Gothic" w:eastAsia="MS Gothic" w:hAnsi="MS Gothic" w:cs="Times New Roman"/>
          <w:szCs w:val="24"/>
        </w:rPr>
        <w:tab/>
      </w:r>
      <w:sdt>
        <w:sdtPr>
          <w:rPr>
            <w:rFonts w:ascii="MS Gothic" w:eastAsia="MS Gothic" w:hAnsi="MS Gothic" w:cs="Times New Roman"/>
            <w:szCs w:val="24"/>
          </w:rPr>
          <w:id w:val="1154875093"/>
          <w:showingPlcHdr/>
        </w:sdtPr>
        <w:sdtEndPr/>
        <w:sdtContent>
          <w:r w:rsidR="00902999">
            <w:rPr>
              <w:rFonts w:ascii="MS Gothic" w:eastAsia="MS Gothic" w:hAnsi="MS Gothic" w:cs="Times New Roman"/>
              <w:szCs w:val="24"/>
            </w:rPr>
            <w:t xml:space="preserve">     </w:t>
          </w:r>
        </w:sdtContent>
      </w:sdt>
      <w:r w:rsidRPr="00E458FA">
        <w:rPr>
          <w:rFonts w:eastAsia="Times New Roman" w:cs="Times New Roman"/>
          <w:szCs w:val="24"/>
        </w:rPr>
        <w:t xml:space="preserve"> Yes</w:t>
      </w:r>
      <w:r w:rsidRPr="00E458FA">
        <w:rPr>
          <w:rFonts w:eastAsia="Times New Roman" w:cs="Times New Roman"/>
          <w:szCs w:val="24"/>
        </w:rPr>
        <w:tab/>
      </w:r>
      <w:r w:rsidRPr="00E458FA">
        <w:rPr>
          <w:rFonts w:eastAsia="Times New Roman" w:cs="Times New Roman"/>
          <w:szCs w:val="24"/>
        </w:rPr>
        <w:tab/>
      </w:r>
      <w:sdt>
        <w:sdtPr>
          <w:rPr>
            <w:rFonts w:ascii="MS Gothic" w:eastAsia="MS Gothic" w:hAnsi="MS Gothic" w:cs="Times New Roman"/>
            <w:szCs w:val="24"/>
          </w:rPr>
          <w:id w:val="-1905143387"/>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ascii="MS Gothic" w:eastAsia="MS Gothic" w:hAnsi="MS Gothic" w:cs="Times New Roman"/>
            <w:szCs w:val="24"/>
          </w:rPr>
          <w:id w:val="-16009889"/>
        </w:sdtPr>
        <w:sdtEndPr/>
        <w:sdtContent>
          <w:r w:rsidR="00902999">
            <w:rPr>
              <w:rFonts w:ascii="MS Gothic" w:eastAsia="MS Gothic" w:hAnsi="MS Gothic" w:cs="Times New Roman"/>
              <w:szCs w:val="24"/>
            </w:rPr>
            <w:t>X</w:t>
          </w:r>
          <w:r w:rsidRPr="00E458FA">
            <w:rPr>
              <w:rFonts w:ascii="MS Gothic" w:eastAsia="MS Gothic" w:hAnsi="MS Gothic" w:cs="Times New Roman" w:hint="eastAsia"/>
              <w:szCs w:val="24"/>
            </w:rPr>
            <w:t>☐</w:t>
          </w:r>
        </w:sdtContent>
      </w:sdt>
      <w:r w:rsidRPr="00E458FA">
        <w:rPr>
          <w:rFonts w:eastAsia="Times New Roman" w:cs="Times New Roman"/>
          <w:szCs w:val="24"/>
        </w:rPr>
        <w:t xml:space="preserve"> Not sure</w:t>
      </w:r>
    </w:p>
    <w:p w14:paraId="512DC9F2" w14:textId="77777777"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 xml:space="preserve">Please give reasons for your answer.  </w:t>
      </w:r>
    </w:p>
    <w:p w14:paraId="64A93A47" w14:textId="77777777" w:rsidR="00D34A0D" w:rsidRPr="00980CE8" w:rsidRDefault="00D34A0D" w:rsidP="00D34A0D">
      <w:pPr>
        <w:spacing w:after="288" w:line="240" w:lineRule="auto"/>
        <w:ind w:left="142"/>
        <w:rPr>
          <w:rFonts w:asciiTheme="minorHAnsi" w:eastAsia="Times New Roman" w:hAnsiTheme="minorHAnsi" w:cs="Arial"/>
          <w:szCs w:val="24"/>
        </w:rPr>
      </w:pPr>
      <w:r w:rsidRPr="00980CE8">
        <w:rPr>
          <w:rFonts w:asciiTheme="minorHAnsi" w:eastAsia="Times New Roman" w:hAnsiTheme="minorHAnsi" w:cs="Arial"/>
          <w:szCs w:val="24"/>
        </w:rPr>
        <w:t xml:space="preserve">Given the proposed timescale for implementation of the TEF, the interpretation of what constitutes a ‘successful’ QA review is pragmatic and sensible. </w:t>
      </w:r>
      <w:r w:rsidR="008735FA" w:rsidRPr="00980CE8">
        <w:rPr>
          <w:rFonts w:asciiTheme="minorHAnsi" w:eastAsia="Times New Roman" w:hAnsiTheme="minorHAnsi" w:cs="Arial"/>
          <w:szCs w:val="24"/>
        </w:rPr>
        <w:t>However, a robust appeals process will be required. It should also be noted that</w:t>
      </w:r>
      <w:r w:rsidR="006C7EDF">
        <w:rPr>
          <w:rFonts w:asciiTheme="minorHAnsi" w:eastAsia="Times New Roman" w:hAnsiTheme="minorHAnsi" w:cs="Arial"/>
          <w:szCs w:val="24"/>
        </w:rPr>
        <w:t>,</w:t>
      </w:r>
      <w:r w:rsidR="008735FA" w:rsidRPr="00980CE8">
        <w:rPr>
          <w:rFonts w:asciiTheme="minorHAnsi" w:eastAsia="Times New Roman" w:hAnsiTheme="minorHAnsi" w:cs="Arial"/>
          <w:szCs w:val="24"/>
        </w:rPr>
        <w:t xml:space="preserve"> for institutions due to be reviewed during 2016/17</w:t>
      </w:r>
      <w:r w:rsidR="006C7EDF">
        <w:rPr>
          <w:rFonts w:asciiTheme="minorHAnsi" w:eastAsia="Times New Roman" w:hAnsiTheme="minorHAnsi" w:cs="Arial"/>
          <w:szCs w:val="24"/>
        </w:rPr>
        <w:t>,</w:t>
      </w:r>
      <w:r w:rsidR="008735FA" w:rsidRPr="00980CE8">
        <w:rPr>
          <w:rFonts w:asciiTheme="minorHAnsi" w:eastAsia="Times New Roman" w:hAnsiTheme="minorHAnsi" w:cs="Arial"/>
          <w:szCs w:val="24"/>
        </w:rPr>
        <w:t xml:space="preserve"> their most recent review </w:t>
      </w:r>
      <w:r w:rsidR="006C7EDF">
        <w:rPr>
          <w:rFonts w:asciiTheme="minorHAnsi" w:eastAsia="Times New Roman" w:hAnsiTheme="minorHAnsi" w:cs="Arial"/>
          <w:szCs w:val="24"/>
        </w:rPr>
        <w:t>w</w:t>
      </w:r>
      <w:r w:rsidR="008735FA" w:rsidRPr="00980CE8">
        <w:rPr>
          <w:rFonts w:asciiTheme="minorHAnsi" w:eastAsia="Times New Roman" w:hAnsiTheme="minorHAnsi" w:cs="Arial"/>
          <w:szCs w:val="24"/>
        </w:rPr>
        <w:t>ill not really be recent.</w:t>
      </w:r>
    </w:p>
    <w:p w14:paraId="4B2DAF2D" w14:textId="77777777" w:rsidR="00D34A0D" w:rsidRPr="00980CE8" w:rsidRDefault="00D34A0D" w:rsidP="00D34A0D">
      <w:pPr>
        <w:spacing w:after="288" w:line="240" w:lineRule="auto"/>
        <w:ind w:left="142"/>
        <w:rPr>
          <w:rFonts w:asciiTheme="minorHAnsi" w:eastAsia="Times New Roman" w:hAnsiTheme="minorHAnsi" w:cs="Arial"/>
          <w:szCs w:val="24"/>
        </w:rPr>
      </w:pPr>
      <w:r w:rsidRPr="00980CE8">
        <w:rPr>
          <w:rFonts w:asciiTheme="minorHAnsi" w:eastAsia="Times New Roman" w:hAnsiTheme="minorHAnsi" w:cs="Arial"/>
          <w:szCs w:val="24"/>
        </w:rPr>
        <w:t>Incentives should be open to all providers, to support the ethos of a ‘level playing field’.</w:t>
      </w:r>
      <w:r w:rsidR="00522628" w:rsidRPr="00980CE8">
        <w:rPr>
          <w:rFonts w:asciiTheme="minorHAnsi" w:eastAsia="Times New Roman" w:hAnsiTheme="minorHAnsi" w:cs="Arial"/>
          <w:szCs w:val="24"/>
        </w:rPr>
        <w:t xml:space="preserve"> We also welcome an automatic review where there is a change of circumstance such as </w:t>
      </w:r>
      <w:r w:rsidR="004B6F96" w:rsidRPr="00980CE8">
        <w:rPr>
          <w:rFonts w:asciiTheme="minorHAnsi" w:eastAsia="Times New Roman" w:hAnsiTheme="minorHAnsi" w:cs="Arial"/>
          <w:szCs w:val="24"/>
        </w:rPr>
        <w:t>change of ow</w:t>
      </w:r>
      <w:r w:rsidR="00033C6B">
        <w:rPr>
          <w:rFonts w:asciiTheme="minorHAnsi" w:eastAsia="Times New Roman" w:hAnsiTheme="minorHAnsi" w:cs="Arial"/>
          <w:szCs w:val="24"/>
        </w:rPr>
        <w:t>n</w:t>
      </w:r>
      <w:r w:rsidR="00522628" w:rsidRPr="00980CE8">
        <w:rPr>
          <w:rFonts w:asciiTheme="minorHAnsi" w:eastAsia="Times New Roman" w:hAnsiTheme="minorHAnsi" w:cs="Arial"/>
          <w:szCs w:val="24"/>
        </w:rPr>
        <w:t>ership of the provider as this will serve to protect the reputation of UK HE.</w:t>
      </w:r>
    </w:p>
    <w:p w14:paraId="32A63514" w14:textId="77777777" w:rsidR="00EA2CC6" w:rsidRPr="00980CE8" w:rsidRDefault="00D34A0D" w:rsidP="00D34A0D">
      <w:pPr>
        <w:spacing w:after="288" w:line="240" w:lineRule="auto"/>
        <w:ind w:left="142"/>
        <w:rPr>
          <w:rFonts w:asciiTheme="minorHAnsi" w:eastAsia="Times New Roman" w:hAnsiTheme="minorHAnsi" w:cs="Arial"/>
          <w:szCs w:val="24"/>
        </w:rPr>
      </w:pPr>
      <w:r w:rsidRPr="00980CE8">
        <w:rPr>
          <w:rFonts w:asciiTheme="minorHAnsi" w:eastAsia="Times New Roman" w:hAnsiTheme="minorHAnsi" w:cs="Arial"/>
          <w:szCs w:val="24"/>
        </w:rPr>
        <w:t xml:space="preserve">A differentiated TEF will be important </w:t>
      </w:r>
      <w:r w:rsidR="00980CE8" w:rsidRPr="00980CE8">
        <w:rPr>
          <w:rFonts w:asciiTheme="minorHAnsi" w:eastAsia="Times New Roman" w:hAnsiTheme="minorHAnsi" w:cs="Arial"/>
          <w:szCs w:val="24"/>
        </w:rPr>
        <w:t xml:space="preserve">if the purpose is </w:t>
      </w:r>
      <w:r w:rsidRPr="00980CE8">
        <w:rPr>
          <w:rFonts w:asciiTheme="minorHAnsi" w:eastAsia="Times New Roman" w:hAnsiTheme="minorHAnsi" w:cs="Arial"/>
          <w:szCs w:val="24"/>
        </w:rPr>
        <w:t>to distinguish those offering teaching exce</w:t>
      </w:r>
      <w:r w:rsidR="004B6F96" w:rsidRPr="00980CE8">
        <w:rPr>
          <w:rFonts w:asciiTheme="minorHAnsi" w:eastAsia="Times New Roman" w:hAnsiTheme="minorHAnsi" w:cs="Arial"/>
          <w:szCs w:val="24"/>
        </w:rPr>
        <w:t xml:space="preserve">llence from average </w:t>
      </w:r>
      <w:r w:rsidR="00980CE8" w:rsidRPr="00980CE8">
        <w:rPr>
          <w:rFonts w:asciiTheme="minorHAnsi" w:eastAsia="Times New Roman" w:hAnsiTheme="minorHAnsi" w:cs="Arial"/>
          <w:szCs w:val="24"/>
        </w:rPr>
        <w:t>(</w:t>
      </w:r>
      <w:r w:rsidR="004B6F96" w:rsidRPr="00980CE8">
        <w:rPr>
          <w:rFonts w:asciiTheme="minorHAnsi" w:eastAsia="Times New Roman" w:hAnsiTheme="minorHAnsi" w:cs="Arial"/>
          <w:szCs w:val="24"/>
        </w:rPr>
        <w:t xml:space="preserve">or even </w:t>
      </w:r>
      <w:r w:rsidR="00980CE8" w:rsidRPr="00980CE8">
        <w:rPr>
          <w:rFonts w:asciiTheme="minorHAnsi" w:eastAsia="Times New Roman" w:hAnsiTheme="minorHAnsi" w:cs="Arial"/>
          <w:szCs w:val="24"/>
        </w:rPr>
        <w:t>poorer)</w:t>
      </w:r>
      <w:r w:rsidR="004B6F96" w:rsidRPr="00980CE8">
        <w:rPr>
          <w:rFonts w:asciiTheme="minorHAnsi" w:eastAsia="Times New Roman" w:hAnsiTheme="minorHAnsi" w:cs="Arial"/>
          <w:szCs w:val="24"/>
        </w:rPr>
        <w:t xml:space="preserve"> </w:t>
      </w:r>
      <w:r w:rsidRPr="00980CE8">
        <w:rPr>
          <w:rFonts w:asciiTheme="minorHAnsi" w:eastAsia="Times New Roman" w:hAnsiTheme="minorHAnsi" w:cs="Arial"/>
          <w:szCs w:val="24"/>
        </w:rPr>
        <w:t xml:space="preserve">teaching; however, we are not sure we agree entirely with the proposed metrics, which in – some instances </w:t>
      </w:r>
      <w:r w:rsidR="00980CE8" w:rsidRPr="00980CE8">
        <w:rPr>
          <w:rFonts w:asciiTheme="minorHAnsi" w:eastAsia="Times New Roman" w:hAnsiTheme="minorHAnsi" w:cs="Arial"/>
          <w:szCs w:val="24"/>
        </w:rPr>
        <w:t>(</w:t>
      </w:r>
      <w:proofErr w:type="spellStart"/>
      <w:r w:rsidR="00980CE8" w:rsidRPr="00980CE8">
        <w:rPr>
          <w:rFonts w:asciiTheme="minorHAnsi" w:eastAsia="Times New Roman" w:hAnsiTheme="minorHAnsi" w:cs="Arial"/>
          <w:szCs w:val="24"/>
        </w:rPr>
        <w:t>eg</w:t>
      </w:r>
      <w:proofErr w:type="spellEnd"/>
      <w:r w:rsidR="00980CE8" w:rsidRPr="00980CE8">
        <w:rPr>
          <w:rFonts w:asciiTheme="minorHAnsi" w:eastAsia="Times New Roman" w:hAnsiTheme="minorHAnsi" w:cs="Arial"/>
          <w:szCs w:val="24"/>
        </w:rPr>
        <w:t xml:space="preserve">, graduate salary levels) </w:t>
      </w:r>
      <w:r w:rsidRPr="00980CE8">
        <w:rPr>
          <w:rFonts w:asciiTheme="minorHAnsi" w:eastAsia="Times New Roman" w:hAnsiTheme="minorHAnsi" w:cs="Arial"/>
          <w:szCs w:val="24"/>
        </w:rPr>
        <w:t xml:space="preserve">– appear to be </w:t>
      </w:r>
      <w:r w:rsidR="00980CE8" w:rsidRPr="00980CE8">
        <w:rPr>
          <w:rFonts w:asciiTheme="minorHAnsi" w:eastAsia="Times New Roman" w:hAnsiTheme="minorHAnsi" w:cs="Arial"/>
          <w:szCs w:val="24"/>
        </w:rPr>
        <w:t xml:space="preserve">remote </w:t>
      </w:r>
      <w:r w:rsidRPr="00980CE8">
        <w:rPr>
          <w:rFonts w:asciiTheme="minorHAnsi" w:eastAsia="Times New Roman" w:hAnsiTheme="minorHAnsi" w:cs="Arial"/>
          <w:szCs w:val="24"/>
        </w:rPr>
        <w:t>proxies for measuring teaching excellence rather than actually measuring teaching excellence.</w:t>
      </w:r>
      <w:r w:rsidR="00980CE8" w:rsidRPr="00980CE8">
        <w:rPr>
          <w:rFonts w:asciiTheme="minorHAnsi" w:eastAsia="Times New Roman" w:hAnsiTheme="minorHAnsi" w:cs="Arial"/>
          <w:szCs w:val="24"/>
        </w:rPr>
        <w:t xml:space="preserve">  It will take time to develop the metrics appropriately, and it is essential to get it right.  This argues for a longer implementation period.</w:t>
      </w:r>
    </w:p>
    <w:p w14:paraId="2D4F110A" w14:textId="77777777" w:rsidR="00EA2CC6" w:rsidRPr="00980CE8" w:rsidRDefault="00EA2CC6" w:rsidP="00EA2CC6">
      <w:pPr>
        <w:spacing w:after="288" w:line="240" w:lineRule="auto"/>
        <w:ind w:left="187"/>
        <w:rPr>
          <w:rFonts w:asciiTheme="minorHAnsi" w:eastAsia="Times New Roman" w:hAnsiTheme="minorHAnsi" w:cs="Arial"/>
          <w:szCs w:val="24"/>
        </w:rPr>
      </w:pPr>
      <w:r w:rsidRPr="00980CE8">
        <w:rPr>
          <w:rFonts w:asciiTheme="minorHAnsi" w:eastAsia="Times New Roman" w:hAnsiTheme="minorHAnsi" w:cs="Arial"/>
          <w:szCs w:val="24"/>
        </w:rPr>
        <w:t xml:space="preserve">The REF could have an impact case study on teaching for those institutions which claim research led teaching. </w:t>
      </w:r>
    </w:p>
    <w:p w14:paraId="4D4D7F21" w14:textId="77777777" w:rsidR="00D34A0D" w:rsidRPr="00980CE8" w:rsidRDefault="00980CE8" w:rsidP="00D34A0D">
      <w:pPr>
        <w:spacing w:after="288" w:line="240" w:lineRule="auto"/>
        <w:ind w:left="142"/>
        <w:rPr>
          <w:rFonts w:asciiTheme="minorHAnsi" w:eastAsia="Times New Roman" w:hAnsiTheme="minorHAnsi" w:cs="Arial"/>
          <w:szCs w:val="24"/>
        </w:rPr>
      </w:pPr>
      <w:r>
        <w:rPr>
          <w:rFonts w:asciiTheme="minorHAnsi" w:eastAsia="Times New Roman" w:hAnsiTheme="minorHAnsi" w:cs="Arial"/>
          <w:szCs w:val="24"/>
        </w:rPr>
        <w:t xml:space="preserve">- </w:t>
      </w:r>
      <w:r w:rsidRPr="00980CE8">
        <w:rPr>
          <w:rFonts w:asciiTheme="minorHAnsi" w:eastAsia="Times New Roman" w:hAnsiTheme="minorHAnsi" w:cs="Arial"/>
          <w:szCs w:val="24"/>
        </w:rPr>
        <w:t>However, surely t</w:t>
      </w:r>
      <w:r w:rsidR="004B6F96" w:rsidRPr="00980CE8">
        <w:rPr>
          <w:rFonts w:asciiTheme="minorHAnsi" w:eastAsia="Times New Roman" w:hAnsiTheme="minorHAnsi" w:cs="Arial"/>
          <w:szCs w:val="24"/>
        </w:rPr>
        <w:t xml:space="preserve">he regulators (OFS?) </w:t>
      </w:r>
      <w:r w:rsidR="00D34A0D" w:rsidRPr="00980CE8">
        <w:rPr>
          <w:rFonts w:asciiTheme="minorHAnsi" w:eastAsia="Times New Roman" w:hAnsiTheme="minorHAnsi" w:cs="Arial"/>
          <w:szCs w:val="24"/>
        </w:rPr>
        <w:t>need to properly define teaching excellence before we ca</w:t>
      </w:r>
      <w:r w:rsidR="004B6F96" w:rsidRPr="00980CE8">
        <w:rPr>
          <w:rFonts w:asciiTheme="minorHAnsi" w:eastAsia="Times New Roman" w:hAnsiTheme="minorHAnsi" w:cs="Arial"/>
          <w:szCs w:val="24"/>
        </w:rPr>
        <w:t xml:space="preserve">n agree on how to measure </w:t>
      </w:r>
      <w:r w:rsidRPr="00980CE8">
        <w:rPr>
          <w:rFonts w:asciiTheme="minorHAnsi" w:eastAsia="Times New Roman" w:hAnsiTheme="minorHAnsi" w:cs="Arial"/>
          <w:szCs w:val="24"/>
        </w:rPr>
        <w:t>it?</w:t>
      </w:r>
      <w:r w:rsidR="004B6F96" w:rsidRPr="00980CE8">
        <w:rPr>
          <w:rFonts w:asciiTheme="minorHAnsi" w:eastAsia="Times New Roman" w:hAnsiTheme="minorHAnsi" w:cs="Arial"/>
          <w:szCs w:val="24"/>
        </w:rPr>
        <w:t xml:space="preserve"> </w:t>
      </w:r>
    </w:p>
    <w:p w14:paraId="3112EE4E" w14:textId="77777777" w:rsidR="00E458FA" w:rsidRPr="00E458FA" w:rsidRDefault="00E458FA" w:rsidP="00E458FA">
      <w:pPr>
        <w:tabs>
          <w:tab w:val="left" w:pos="567"/>
        </w:tabs>
        <w:spacing w:after="288" w:line="240" w:lineRule="auto"/>
        <w:ind w:left="142" w:right="11"/>
        <w:rPr>
          <w:rFonts w:eastAsia="Times New Roman" w:cs="Arial"/>
          <w:bCs/>
          <w:szCs w:val="24"/>
        </w:rPr>
      </w:pPr>
      <w:r w:rsidRPr="00E458FA">
        <w:rPr>
          <w:rFonts w:eastAsia="Times New Roman" w:cs="Arial"/>
          <w:bCs/>
          <w:szCs w:val="24"/>
        </w:rPr>
        <w:t xml:space="preserve">Question 6: Do you agree with the proposed approach to TEF assessments on </w:t>
      </w:r>
    </w:p>
    <w:p w14:paraId="3E4CED98" w14:textId="77777777" w:rsidR="00E458FA" w:rsidRPr="00E458FA" w:rsidRDefault="00E458FA" w:rsidP="00E458FA">
      <w:pPr>
        <w:tabs>
          <w:tab w:val="left" w:pos="567"/>
        </w:tabs>
        <w:spacing w:after="288" w:line="240" w:lineRule="auto"/>
        <w:ind w:left="142" w:right="11"/>
        <w:rPr>
          <w:rFonts w:eastAsia="Times New Roman" w:cs="Arial"/>
          <w:bCs/>
          <w:szCs w:val="24"/>
        </w:rPr>
      </w:pPr>
      <w:proofErr w:type="gramStart"/>
      <w:r w:rsidRPr="00E458FA">
        <w:rPr>
          <w:rFonts w:eastAsia="Times New Roman" w:cs="Arial"/>
          <w:bCs/>
          <w:szCs w:val="24"/>
        </w:rPr>
        <w:t>Timing?</w:t>
      </w:r>
      <w:proofErr w:type="gramEnd"/>
      <w:r w:rsidRPr="00E458FA">
        <w:rPr>
          <w:rFonts w:eastAsia="Times New Roman" w:cs="Arial"/>
          <w:bCs/>
          <w:szCs w:val="24"/>
        </w:rPr>
        <w:t xml:space="preserve"> </w:t>
      </w:r>
    </w:p>
    <w:p w14:paraId="2843B018" w14:textId="77777777" w:rsidR="00E458FA" w:rsidRPr="00E458FA" w:rsidRDefault="00E458FA" w:rsidP="00E458FA">
      <w:pPr>
        <w:tabs>
          <w:tab w:val="left" w:pos="567"/>
        </w:tabs>
        <w:spacing w:after="288" w:line="240" w:lineRule="auto"/>
        <w:ind w:left="142"/>
        <w:rPr>
          <w:rFonts w:eastAsia="Times New Roman" w:cs="Times New Roman"/>
          <w:szCs w:val="24"/>
        </w:rPr>
      </w:pPr>
      <w:r w:rsidRPr="00E458FA">
        <w:rPr>
          <w:rFonts w:eastAsia="Times New Roman" w:cs="Times New Roman"/>
          <w:szCs w:val="24"/>
        </w:rPr>
        <w:t xml:space="preserve">        </w:t>
      </w:r>
      <w:sdt>
        <w:sdtPr>
          <w:rPr>
            <w:rFonts w:eastAsia="Times New Roman" w:cs="Times New Roman"/>
            <w:szCs w:val="24"/>
          </w:rPr>
          <w:id w:val="-886334337"/>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Yes</w:t>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136156794"/>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346070134"/>
        </w:sdtPr>
        <w:sdtEndPr/>
        <w:sdtContent>
          <w:r w:rsidR="0041183F">
            <w:rPr>
              <w:rFonts w:ascii="MS Gothic" w:eastAsia="MS Gothic" w:hAnsi="MS Gothic" w:cs="Times New Roman" w:hint="eastAsia"/>
              <w:szCs w:val="24"/>
            </w:rPr>
            <w:t>☒</w:t>
          </w:r>
        </w:sdtContent>
      </w:sdt>
      <w:r w:rsidRPr="00E458FA">
        <w:rPr>
          <w:rFonts w:eastAsia="Times New Roman" w:cs="Times New Roman"/>
          <w:szCs w:val="24"/>
        </w:rPr>
        <w:t xml:space="preserve"> </w:t>
      </w:r>
      <w:proofErr w:type="gramStart"/>
      <w:r w:rsidRPr="00E458FA">
        <w:rPr>
          <w:rFonts w:eastAsia="Times New Roman" w:cs="Times New Roman"/>
          <w:szCs w:val="24"/>
        </w:rPr>
        <w:t>Not</w:t>
      </w:r>
      <w:proofErr w:type="gramEnd"/>
      <w:r w:rsidRPr="00E458FA">
        <w:rPr>
          <w:rFonts w:eastAsia="Times New Roman" w:cs="Times New Roman"/>
          <w:szCs w:val="24"/>
        </w:rPr>
        <w:t xml:space="preserve"> sure</w:t>
      </w:r>
    </w:p>
    <w:p w14:paraId="47C75452" w14:textId="77777777" w:rsidR="00E458FA" w:rsidRPr="00E458FA" w:rsidRDefault="00E458FA" w:rsidP="00E458FA">
      <w:pPr>
        <w:spacing w:after="288" w:line="240" w:lineRule="auto"/>
        <w:ind w:left="142"/>
        <w:rPr>
          <w:rFonts w:eastAsia="Times New Roman" w:cs="Arial"/>
          <w:bCs/>
          <w:szCs w:val="24"/>
        </w:rPr>
      </w:pPr>
      <w:proofErr w:type="gramStart"/>
      <w:r w:rsidRPr="00E458FA">
        <w:rPr>
          <w:rFonts w:eastAsia="Times New Roman" w:cs="Arial"/>
          <w:bCs/>
          <w:szCs w:val="24"/>
        </w:rPr>
        <w:t>Assessment panels?</w:t>
      </w:r>
      <w:proofErr w:type="gramEnd"/>
    </w:p>
    <w:p w14:paraId="44FAB231" w14:textId="77777777" w:rsidR="00E458FA" w:rsidRPr="00E458FA" w:rsidRDefault="00E458FA" w:rsidP="00E458FA">
      <w:pPr>
        <w:tabs>
          <w:tab w:val="left" w:pos="567"/>
        </w:tabs>
        <w:spacing w:after="288" w:line="240" w:lineRule="auto"/>
        <w:ind w:left="142"/>
        <w:rPr>
          <w:rFonts w:eastAsia="Times New Roman" w:cs="Times New Roman"/>
          <w:szCs w:val="24"/>
        </w:rPr>
      </w:pPr>
      <w:r w:rsidRPr="00E458FA">
        <w:rPr>
          <w:rFonts w:eastAsia="Times New Roman" w:cs="Times New Roman"/>
          <w:szCs w:val="24"/>
        </w:rPr>
        <w:t xml:space="preserve">        </w:t>
      </w:r>
      <w:sdt>
        <w:sdtPr>
          <w:rPr>
            <w:rFonts w:eastAsia="Times New Roman" w:cs="Times New Roman"/>
            <w:szCs w:val="24"/>
          </w:rPr>
          <w:id w:val="-1625459655"/>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Yes</w:t>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137224971"/>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1924324274"/>
        </w:sdtPr>
        <w:sdtEndPr/>
        <w:sdtContent>
          <w:r w:rsidR="0041183F">
            <w:rPr>
              <w:rFonts w:ascii="MS Gothic" w:eastAsia="MS Gothic" w:hAnsi="MS Gothic" w:cs="Times New Roman" w:hint="eastAsia"/>
              <w:szCs w:val="24"/>
            </w:rPr>
            <w:t>☒</w:t>
          </w:r>
        </w:sdtContent>
      </w:sdt>
      <w:r w:rsidRPr="00E458FA">
        <w:rPr>
          <w:rFonts w:eastAsia="Times New Roman" w:cs="Times New Roman"/>
          <w:szCs w:val="24"/>
        </w:rPr>
        <w:t xml:space="preserve"> </w:t>
      </w:r>
      <w:proofErr w:type="gramStart"/>
      <w:r w:rsidRPr="00E458FA">
        <w:rPr>
          <w:rFonts w:eastAsia="Times New Roman" w:cs="Times New Roman"/>
          <w:szCs w:val="24"/>
        </w:rPr>
        <w:t>Not</w:t>
      </w:r>
      <w:proofErr w:type="gramEnd"/>
      <w:r w:rsidRPr="00E458FA">
        <w:rPr>
          <w:rFonts w:eastAsia="Times New Roman" w:cs="Times New Roman"/>
          <w:szCs w:val="24"/>
        </w:rPr>
        <w:t xml:space="preserve"> sure</w:t>
      </w:r>
    </w:p>
    <w:p w14:paraId="6092EAEC" w14:textId="77777777" w:rsidR="00E458FA" w:rsidRPr="00E458FA" w:rsidRDefault="00E458FA" w:rsidP="00E458FA">
      <w:pPr>
        <w:spacing w:after="288" w:line="240" w:lineRule="auto"/>
        <w:ind w:left="142"/>
        <w:rPr>
          <w:rFonts w:eastAsia="Times New Roman" w:cs="Arial"/>
          <w:bCs/>
          <w:szCs w:val="24"/>
        </w:rPr>
      </w:pPr>
      <w:r w:rsidRPr="00E458FA">
        <w:rPr>
          <w:rFonts w:eastAsia="Times New Roman" w:cs="Arial"/>
          <w:bCs/>
          <w:szCs w:val="24"/>
        </w:rPr>
        <w:t xml:space="preserve"> </w:t>
      </w:r>
      <w:proofErr w:type="gramStart"/>
      <w:r w:rsidRPr="00E458FA">
        <w:rPr>
          <w:rFonts w:eastAsia="Times New Roman" w:cs="Arial"/>
          <w:bCs/>
          <w:szCs w:val="24"/>
        </w:rPr>
        <w:t>and</w:t>
      </w:r>
      <w:proofErr w:type="gramEnd"/>
      <w:r w:rsidRPr="00E458FA">
        <w:rPr>
          <w:rFonts w:eastAsia="Times New Roman" w:cs="Arial"/>
          <w:bCs/>
          <w:szCs w:val="24"/>
        </w:rPr>
        <w:t xml:space="preserve"> process?</w:t>
      </w:r>
    </w:p>
    <w:p w14:paraId="7F4B59DD" w14:textId="77777777" w:rsidR="00E458FA" w:rsidRPr="00E458FA" w:rsidRDefault="00E458FA" w:rsidP="00E458FA">
      <w:pPr>
        <w:tabs>
          <w:tab w:val="left" w:pos="567"/>
        </w:tabs>
        <w:spacing w:after="288" w:line="240" w:lineRule="auto"/>
        <w:ind w:left="142"/>
        <w:rPr>
          <w:rFonts w:eastAsia="Times New Roman" w:cs="Times New Roman"/>
          <w:szCs w:val="24"/>
        </w:rPr>
      </w:pPr>
      <w:r w:rsidRPr="00E458FA">
        <w:rPr>
          <w:rFonts w:eastAsia="Times New Roman" w:cs="Times New Roman"/>
          <w:szCs w:val="24"/>
        </w:rPr>
        <w:t xml:space="preserve">        </w:t>
      </w:r>
      <w:sdt>
        <w:sdtPr>
          <w:rPr>
            <w:rFonts w:eastAsia="Times New Roman" w:cs="Times New Roman"/>
            <w:szCs w:val="24"/>
          </w:rPr>
          <w:id w:val="-1183208681"/>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Yes</w:t>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91212049"/>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365754743"/>
        </w:sdtPr>
        <w:sdtEndPr/>
        <w:sdtContent>
          <w:r w:rsidR="0041183F">
            <w:rPr>
              <w:rFonts w:ascii="MS Gothic" w:eastAsia="MS Gothic" w:hAnsi="MS Gothic" w:cs="Times New Roman" w:hint="eastAsia"/>
              <w:szCs w:val="24"/>
            </w:rPr>
            <w:t>☒</w:t>
          </w:r>
        </w:sdtContent>
      </w:sdt>
      <w:r w:rsidRPr="00E458FA">
        <w:rPr>
          <w:rFonts w:eastAsia="Times New Roman" w:cs="Times New Roman"/>
          <w:szCs w:val="24"/>
        </w:rPr>
        <w:t xml:space="preserve"> </w:t>
      </w:r>
      <w:proofErr w:type="gramStart"/>
      <w:r w:rsidRPr="00E458FA">
        <w:rPr>
          <w:rFonts w:eastAsia="Times New Roman" w:cs="Times New Roman"/>
          <w:szCs w:val="24"/>
        </w:rPr>
        <w:t>Not</w:t>
      </w:r>
      <w:proofErr w:type="gramEnd"/>
      <w:r w:rsidRPr="00E458FA">
        <w:rPr>
          <w:rFonts w:eastAsia="Times New Roman" w:cs="Times New Roman"/>
          <w:szCs w:val="24"/>
        </w:rPr>
        <w:t xml:space="preserve"> sure</w:t>
      </w:r>
    </w:p>
    <w:p w14:paraId="08C37657" w14:textId="77777777" w:rsidR="00E458FA" w:rsidRPr="00E458FA" w:rsidRDefault="00E458FA" w:rsidP="00E458FA">
      <w:pPr>
        <w:spacing w:after="288" w:line="240" w:lineRule="auto"/>
        <w:ind w:left="142"/>
        <w:rPr>
          <w:rFonts w:eastAsia="Times New Roman" w:cs="Times New Roman"/>
          <w:szCs w:val="24"/>
        </w:rPr>
      </w:pPr>
      <w:r w:rsidRPr="00E458FA">
        <w:rPr>
          <w:rFonts w:eastAsia="Times New Roman" w:cs="Arial"/>
          <w:bCs/>
          <w:szCs w:val="24"/>
        </w:rPr>
        <w:lastRenderedPageBreak/>
        <w:t xml:space="preserve">Please give reasons for your answer. </w:t>
      </w:r>
    </w:p>
    <w:p w14:paraId="4D9F8F3E" w14:textId="77777777" w:rsidR="00FE24A1" w:rsidRDefault="00D34A0D" w:rsidP="00FE24A1">
      <w:pPr>
        <w:spacing w:after="288" w:line="240" w:lineRule="auto"/>
        <w:ind w:left="142"/>
        <w:rPr>
          <w:rFonts w:asciiTheme="minorHAnsi" w:eastAsia="Times New Roman" w:hAnsiTheme="minorHAnsi" w:cstheme="minorHAnsi"/>
          <w:bCs/>
          <w:iCs/>
          <w:szCs w:val="24"/>
        </w:rPr>
      </w:pPr>
      <w:r w:rsidRPr="00FE24A1">
        <w:rPr>
          <w:rFonts w:asciiTheme="minorHAnsi" w:eastAsia="Times New Roman" w:hAnsiTheme="minorHAnsi" w:cstheme="minorHAnsi"/>
          <w:szCs w:val="24"/>
        </w:rPr>
        <w:t>As mentioned above, we have yet to define teaching excellence – this should inform use of metrics rather than have excellence defined by available metrics. This is a case of the ‘tail wagging the dog’.</w:t>
      </w:r>
      <w:r w:rsidR="00FE24A1" w:rsidRPr="00FE24A1">
        <w:rPr>
          <w:rFonts w:asciiTheme="minorHAnsi" w:eastAsia="Times New Roman" w:hAnsiTheme="minorHAnsi" w:cstheme="minorHAnsi"/>
          <w:szCs w:val="24"/>
        </w:rPr>
        <w:t xml:space="preserve">  </w:t>
      </w:r>
      <w:r w:rsidR="00FE24A1" w:rsidRPr="00FE24A1">
        <w:rPr>
          <w:rFonts w:asciiTheme="minorHAnsi" w:eastAsia="Times New Roman" w:hAnsiTheme="minorHAnsi" w:cstheme="minorHAnsi"/>
          <w:bCs/>
          <w:iCs/>
          <w:szCs w:val="24"/>
        </w:rPr>
        <w:t xml:space="preserve">The relative remoteness of the metrics from what would constitute measurements of teaching excellence underlines the essential need for data to be supplemented by a form of institutional narrative to set metrics in context.  The Green Paper recognises the diversity of the sector and it will be vital that distinctive missions are taken fully into consideration in assessments of excellence.  </w:t>
      </w:r>
    </w:p>
    <w:p w14:paraId="7D471ABB" w14:textId="77777777" w:rsidR="002E2A10" w:rsidRPr="00FE24A1" w:rsidRDefault="002E2A10" w:rsidP="002E2A10">
      <w:pPr>
        <w:spacing w:after="288" w:line="240" w:lineRule="auto"/>
        <w:ind w:left="187"/>
        <w:rPr>
          <w:rFonts w:asciiTheme="minorHAnsi" w:eastAsia="Times New Roman" w:hAnsiTheme="minorHAnsi" w:cstheme="minorHAnsi"/>
          <w:szCs w:val="24"/>
        </w:rPr>
      </w:pPr>
      <w:r>
        <w:rPr>
          <w:rFonts w:asciiTheme="minorHAnsi" w:eastAsia="Times New Roman" w:hAnsiTheme="minorHAnsi" w:cstheme="minorHAnsi"/>
          <w:szCs w:val="24"/>
        </w:rPr>
        <w:t>Also, t</w:t>
      </w:r>
      <w:r w:rsidRPr="00FE24A1">
        <w:rPr>
          <w:rFonts w:asciiTheme="minorHAnsi" w:eastAsia="Times New Roman" w:hAnsiTheme="minorHAnsi" w:cstheme="minorHAnsi"/>
          <w:szCs w:val="24"/>
        </w:rPr>
        <w:t>he qualitative element of assessment will be of huge importance to panel members. If assessments by panels are desk based</w:t>
      </w:r>
      <w:r w:rsidR="00DF2AEF">
        <w:rPr>
          <w:rFonts w:asciiTheme="minorHAnsi" w:eastAsia="Times New Roman" w:hAnsiTheme="minorHAnsi" w:cstheme="minorHAnsi"/>
          <w:szCs w:val="24"/>
        </w:rPr>
        <w:t>,</w:t>
      </w:r>
      <w:r w:rsidRPr="00FE24A1">
        <w:rPr>
          <w:rFonts w:asciiTheme="minorHAnsi" w:eastAsia="Times New Roman" w:hAnsiTheme="minorHAnsi" w:cstheme="minorHAnsi"/>
          <w:szCs w:val="24"/>
        </w:rPr>
        <w:t xml:space="preserve"> who in this process is observing teaching in the classroom?</w:t>
      </w:r>
    </w:p>
    <w:p w14:paraId="2BD976A4" w14:textId="77777777" w:rsidR="00E458FA" w:rsidRPr="00FE24A1" w:rsidRDefault="00FE24A1" w:rsidP="00E458FA">
      <w:pPr>
        <w:spacing w:after="288" w:line="240" w:lineRule="auto"/>
        <w:ind w:left="142"/>
        <w:rPr>
          <w:rFonts w:asciiTheme="minorHAnsi" w:eastAsia="Times New Roman" w:hAnsiTheme="minorHAnsi" w:cstheme="minorHAnsi"/>
          <w:szCs w:val="24"/>
        </w:rPr>
      </w:pPr>
      <w:r w:rsidRPr="00FE24A1">
        <w:rPr>
          <w:rFonts w:asciiTheme="minorHAnsi" w:eastAsia="Times New Roman" w:hAnsiTheme="minorHAnsi" w:cstheme="minorHAnsi"/>
          <w:szCs w:val="24"/>
        </w:rPr>
        <w:t>Again, t</w:t>
      </w:r>
      <w:r w:rsidR="0041183F" w:rsidRPr="00FE24A1">
        <w:rPr>
          <w:rFonts w:asciiTheme="minorHAnsi" w:eastAsia="Times New Roman" w:hAnsiTheme="minorHAnsi" w:cstheme="minorHAnsi"/>
          <w:szCs w:val="24"/>
        </w:rPr>
        <w:t>he timeframe proposed would appear ambitious. They key data sets proposed may disadvantage some providers as they do not all participate in such (the National Student Survey, for example</w:t>
      </w:r>
      <w:r w:rsidR="00D34A0D" w:rsidRPr="00FE24A1">
        <w:rPr>
          <w:rFonts w:asciiTheme="minorHAnsi" w:eastAsia="Times New Roman" w:hAnsiTheme="minorHAnsi" w:cstheme="minorHAnsi"/>
          <w:szCs w:val="24"/>
        </w:rPr>
        <w:t>,</w:t>
      </w:r>
      <w:r w:rsidR="0041183F" w:rsidRPr="00FE24A1">
        <w:rPr>
          <w:rFonts w:asciiTheme="minorHAnsi" w:eastAsia="Times New Roman" w:hAnsiTheme="minorHAnsi" w:cstheme="minorHAnsi"/>
          <w:szCs w:val="24"/>
        </w:rPr>
        <w:t xml:space="preserve"> is not entirely comprehensive).</w:t>
      </w:r>
    </w:p>
    <w:p w14:paraId="50A92B0C" w14:textId="77777777" w:rsidR="00AC3CA3" w:rsidRPr="00FE24A1" w:rsidRDefault="00AC3CA3" w:rsidP="0019277C">
      <w:pPr>
        <w:spacing w:after="288" w:line="240" w:lineRule="auto"/>
        <w:ind w:left="187"/>
        <w:rPr>
          <w:rFonts w:asciiTheme="minorHAnsi" w:eastAsia="Times New Roman" w:hAnsiTheme="minorHAnsi" w:cstheme="minorHAnsi"/>
          <w:szCs w:val="24"/>
        </w:rPr>
      </w:pPr>
      <w:r w:rsidRPr="00FE24A1">
        <w:rPr>
          <w:rFonts w:asciiTheme="minorHAnsi" w:eastAsia="Times New Roman" w:hAnsiTheme="minorHAnsi" w:cstheme="minorHAnsi"/>
          <w:szCs w:val="24"/>
        </w:rPr>
        <w:t>It would be helpful to see a wider consultation on the metrics for TEF levels 2 to 4 once the Technical Consultation is made available. Further details on the timeframe for TEF 2 would be most welcomed.</w:t>
      </w:r>
    </w:p>
    <w:p w14:paraId="04E5516A" w14:textId="77777777" w:rsidR="00EA2CC6" w:rsidRPr="00FE24A1" w:rsidRDefault="00EA2CC6" w:rsidP="0019277C">
      <w:pPr>
        <w:spacing w:after="288" w:line="240" w:lineRule="auto"/>
        <w:ind w:left="187"/>
        <w:rPr>
          <w:rFonts w:asciiTheme="minorHAnsi" w:eastAsia="Times New Roman" w:hAnsiTheme="minorHAnsi" w:cstheme="minorHAnsi"/>
          <w:szCs w:val="24"/>
        </w:rPr>
      </w:pPr>
      <w:r w:rsidRPr="00FE24A1">
        <w:rPr>
          <w:rFonts w:asciiTheme="minorHAnsi" w:eastAsia="Times New Roman" w:hAnsiTheme="minorHAnsi" w:cstheme="minorHAnsi"/>
          <w:szCs w:val="24"/>
        </w:rPr>
        <w:t>TEF2-4 is remarkably unclear. Does an institution apply for 2, then 3 and then 4 or does it apply for 2-4 and the panel decides which one it gets? The criteria for levels 2-4 will need to be detailed and transparent. This all needs to be made clear in the technical consultation.</w:t>
      </w:r>
    </w:p>
    <w:p w14:paraId="6C71121E" w14:textId="77777777" w:rsidR="00FE24A1" w:rsidRPr="00FE24A1" w:rsidRDefault="00EA2CC6" w:rsidP="0019277C">
      <w:pPr>
        <w:spacing w:after="288" w:line="240" w:lineRule="auto"/>
        <w:ind w:left="187"/>
        <w:rPr>
          <w:rFonts w:asciiTheme="minorHAnsi" w:eastAsia="Times New Roman" w:hAnsiTheme="minorHAnsi" w:cstheme="minorHAnsi"/>
          <w:szCs w:val="24"/>
        </w:rPr>
      </w:pPr>
      <w:r w:rsidRPr="00FE24A1">
        <w:rPr>
          <w:rFonts w:asciiTheme="minorHAnsi" w:eastAsia="Times New Roman" w:hAnsiTheme="minorHAnsi" w:cstheme="minorHAnsi"/>
          <w:szCs w:val="24"/>
        </w:rPr>
        <w:t>The Government also needs to develop its wider communication plan surrounding the TEF. First</w:t>
      </w:r>
      <w:r w:rsidR="00FE24A1" w:rsidRPr="00FE24A1">
        <w:rPr>
          <w:rFonts w:asciiTheme="minorHAnsi" w:eastAsia="Times New Roman" w:hAnsiTheme="minorHAnsi" w:cstheme="minorHAnsi"/>
          <w:szCs w:val="24"/>
        </w:rPr>
        <w:t>ly,</w:t>
      </w:r>
      <w:r w:rsidRPr="00FE24A1">
        <w:rPr>
          <w:rFonts w:asciiTheme="minorHAnsi" w:eastAsia="Times New Roman" w:hAnsiTheme="minorHAnsi" w:cstheme="minorHAnsi"/>
          <w:szCs w:val="24"/>
        </w:rPr>
        <w:t xml:space="preserve"> it is not clear what the problem is that TEF is trying to address. This in itself could be damaging to UKHE's reputation, particularly internationally. Secondly, will an institution with TEF 2 be seen as one which has failed to achieve TEF 4? Again, this could be very damaging to the reputation of UKHE.</w:t>
      </w:r>
      <w:r w:rsidR="00FE24A1" w:rsidRPr="00FE24A1">
        <w:rPr>
          <w:rFonts w:asciiTheme="minorHAnsi" w:eastAsia="Times New Roman" w:hAnsiTheme="minorHAnsi" w:cstheme="minorHAnsi"/>
          <w:szCs w:val="24"/>
        </w:rPr>
        <w:t xml:space="preserve">  </w:t>
      </w:r>
    </w:p>
    <w:p w14:paraId="48D0F518" w14:textId="77777777" w:rsidR="00EA2CC6" w:rsidRPr="00FE24A1" w:rsidRDefault="00FE24A1" w:rsidP="0019277C">
      <w:pPr>
        <w:spacing w:after="288" w:line="240" w:lineRule="auto"/>
        <w:ind w:left="187"/>
        <w:rPr>
          <w:rFonts w:asciiTheme="minorHAnsi" w:eastAsia="Times New Roman" w:hAnsiTheme="minorHAnsi" w:cstheme="minorHAnsi"/>
          <w:szCs w:val="24"/>
        </w:rPr>
      </w:pPr>
      <w:r w:rsidRPr="00FE24A1">
        <w:rPr>
          <w:rFonts w:asciiTheme="minorHAnsi" w:eastAsia="Times New Roman" w:hAnsiTheme="minorHAnsi" w:cstheme="minorHAnsi"/>
          <w:bCs/>
          <w:iCs/>
          <w:szCs w:val="24"/>
        </w:rPr>
        <w:t xml:space="preserve">The UK ceased subject-level assessments of teaching almost 15 years ago.  The rationale for ending the activity was that the quality of provision in the sector as existed at that time had been verified and continued assessment would be unnecessary.  We agree that the level of scrutiny of new entrants needs to be more intense, but are concerned that reverting to subject-level assessment of all provision would send the wrong signal to critical international markets that there is any concern with UK HE’s quality.  </w:t>
      </w:r>
    </w:p>
    <w:p w14:paraId="13577EA6" w14:textId="77777777" w:rsidR="00EA2CC6" w:rsidRPr="00FE24A1" w:rsidRDefault="008735FA" w:rsidP="00E458FA">
      <w:pPr>
        <w:spacing w:after="288" w:line="240" w:lineRule="auto"/>
        <w:ind w:left="142"/>
        <w:rPr>
          <w:rFonts w:asciiTheme="minorHAnsi" w:eastAsia="Times New Roman" w:hAnsiTheme="minorHAnsi" w:cstheme="minorHAnsi"/>
          <w:szCs w:val="24"/>
        </w:rPr>
      </w:pPr>
      <w:r w:rsidRPr="00FE24A1">
        <w:rPr>
          <w:rFonts w:asciiTheme="minorHAnsi" w:eastAsia="Times New Roman" w:hAnsiTheme="minorHAnsi" w:cstheme="minorHAnsi"/>
          <w:szCs w:val="24"/>
        </w:rPr>
        <w:t>It would be helpful to understand how consistency between panels might be assured. We are not clear as to who might be responsible for training panel members. Submissions at both discipline and institu</w:t>
      </w:r>
      <w:r w:rsidR="001A2EBB" w:rsidRPr="00FE24A1">
        <w:rPr>
          <w:rFonts w:asciiTheme="minorHAnsi" w:eastAsia="Times New Roman" w:hAnsiTheme="minorHAnsi" w:cstheme="minorHAnsi"/>
          <w:szCs w:val="24"/>
        </w:rPr>
        <w:t xml:space="preserve">tion seem somewhat burdensome. </w:t>
      </w:r>
      <w:r w:rsidR="00F429E6">
        <w:rPr>
          <w:rFonts w:asciiTheme="minorHAnsi" w:eastAsia="Times New Roman" w:hAnsiTheme="minorHAnsi" w:cstheme="minorHAnsi"/>
          <w:szCs w:val="24"/>
        </w:rPr>
        <w:t>Panel selection and training will require great care.</w:t>
      </w:r>
    </w:p>
    <w:p w14:paraId="1EA2737C" w14:textId="77777777" w:rsidR="00F429E6" w:rsidRDefault="00F429E6" w:rsidP="0019277C">
      <w:pPr>
        <w:spacing w:after="288" w:line="240" w:lineRule="auto"/>
        <w:ind w:left="187"/>
        <w:rPr>
          <w:rFonts w:asciiTheme="minorHAnsi" w:eastAsia="Times New Roman" w:hAnsiTheme="minorHAnsi" w:cstheme="minorHAnsi"/>
          <w:szCs w:val="24"/>
        </w:rPr>
      </w:pPr>
      <w:r>
        <w:rPr>
          <w:rFonts w:asciiTheme="minorHAnsi" w:eastAsia="Times New Roman" w:hAnsiTheme="minorHAnsi" w:cstheme="minorHAnsi"/>
          <w:szCs w:val="24"/>
        </w:rPr>
        <w:t>It needs to be clarified w</w:t>
      </w:r>
      <w:r w:rsidR="00EA2CC6" w:rsidRPr="00FE24A1">
        <w:rPr>
          <w:rFonts w:asciiTheme="minorHAnsi" w:eastAsia="Times New Roman" w:hAnsiTheme="minorHAnsi" w:cstheme="minorHAnsi"/>
          <w:szCs w:val="24"/>
        </w:rPr>
        <w:t>hether or not Higher Education Providers would have to submit in a</w:t>
      </w:r>
      <w:r w:rsidR="00E022DA" w:rsidRPr="00FE24A1">
        <w:rPr>
          <w:rFonts w:asciiTheme="minorHAnsi" w:eastAsia="Times New Roman" w:hAnsiTheme="minorHAnsi" w:cstheme="minorHAnsi"/>
          <w:szCs w:val="24"/>
        </w:rPr>
        <w:t>ll disciplines</w:t>
      </w:r>
      <w:r>
        <w:rPr>
          <w:rFonts w:asciiTheme="minorHAnsi" w:eastAsia="Times New Roman" w:hAnsiTheme="minorHAnsi" w:cstheme="minorHAnsi"/>
          <w:szCs w:val="24"/>
        </w:rPr>
        <w:t>.</w:t>
      </w:r>
      <w:r w:rsidR="00EA2CC6" w:rsidRPr="00FE24A1">
        <w:rPr>
          <w:rFonts w:asciiTheme="minorHAnsi" w:eastAsia="Times New Roman" w:hAnsiTheme="minorHAnsi" w:cstheme="minorHAnsi"/>
          <w:szCs w:val="24"/>
        </w:rPr>
        <w:t xml:space="preserve"> If yes, this could be extremely burdensome. </w:t>
      </w:r>
    </w:p>
    <w:p w14:paraId="593512F8" w14:textId="77777777" w:rsidR="00EA2CC6" w:rsidRPr="00FE24A1" w:rsidRDefault="00EA2CC6" w:rsidP="0019277C">
      <w:pPr>
        <w:spacing w:after="288" w:line="240" w:lineRule="auto"/>
        <w:ind w:left="187"/>
        <w:rPr>
          <w:rFonts w:asciiTheme="minorHAnsi" w:eastAsia="Times New Roman" w:hAnsiTheme="minorHAnsi" w:cstheme="minorHAnsi"/>
          <w:szCs w:val="24"/>
        </w:rPr>
      </w:pPr>
      <w:r w:rsidRPr="00FE24A1">
        <w:rPr>
          <w:rFonts w:asciiTheme="minorHAnsi" w:eastAsia="Times New Roman" w:hAnsiTheme="minorHAnsi" w:cstheme="minorHAnsi"/>
          <w:szCs w:val="24"/>
        </w:rPr>
        <w:lastRenderedPageBreak/>
        <w:t>There could also be issues with reliable metrics in smaller discipline areas.</w:t>
      </w:r>
    </w:p>
    <w:p w14:paraId="64259367" w14:textId="77777777" w:rsidR="00E458FA" w:rsidRPr="00FE24A1" w:rsidRDefault="001A2EBB" w:rsidP="00E458FA">
      <w:pPr>
        <w:spacing w:after="288" w:line="240" w:lineRule="auto"/>
        <w:ind w:left="142"/>
        <w:rPr>
          <w:rFonts w:asciiTheme="minorHAnsi" w:eastAsia="Times New Roman" w:hAnsiTheme="minorHAnsi" w:cstheme="minorHAnsi"/>
          <w:szCs w:val="24"/>
        </w:rPr>
      </w:pPr>
      <w:r w:rsidRPr="00FE24A1">
        <w:rPr>
          <w:rFonts w:asciiTheme="minorHAnsi" w:eastAsia="Times New Roman" w:hAnsiTheme="minorHAnsi" w:cstheme="minorHAnsi"/>
          <w:szCs w:val="24"/>
        </w:rPr>
        <w:t xml:space="preserve">We would support the independence of panels and the inclusion of students (as long as this is representative rather than simply paying ‘lip service’).We would welcome clarity on how subject-specific assessors might contribute to institutional-level judgements. </w:t>
      </w:r>
    </w:p>
    <w:p w14:paraId="1094B20F" w14:textId="77777777" w:rsidR="000A6330" w:rsidRPr="00FE24A1" w:rsidRDefault="000A6330" w:rsidP="0019277C">
      <w:pPr>
        <w:spacing w:after="288" w:line="240" w:lineRule="auto"/>
        <w:ind w:left="187"/>
        <w:rPr>
          <w:rFonts w:asciiTheme="minorHAnsi" w:eastAsia="Times New Roman" w:hAnsiTheme="minorHAnsi" w:cstheme="minorHAnsi"/>
          <w:szCs w:val="24"/>
        </w:rPr>
      </w:pPr>
      <w:r w:rsidRPr="00FE24A1">
        <w:rPr>
          <w:rFonts w:asciiTheme="minorHAnsi" w:eastAsia="Times New Roman" w:hAnsiTheme="minorHAnsi" w:cstheme="minorHAnsi"/>
          <w:szCs w:val="24"/>
        </w:rPr>
        <w:t xml:space="preserve">Could QA assessment and this assessment of teaching excellence be completed at one and the same time?  </w:t>
      </w:r>
      <w:proofErr w:type="gramStart"/>
      <w:r w:rsidRPr="00FE24A1">
        <w:rPr>
          <w:rFonts w:asciiTheme="minorHAnsi" w:eastAsia="Times New Roman" w:hAnsiTheme="minorHAnsi" w:cstheme="minorHAnsi"/>
          <w:szCs w:val="24"/>
        </w:rPr>
        <w:t>By one panel?</w:t>
      </w:r>
      <w:proofErr w:type="gramEnd"/>
    </w:p>
    <w:p w14:paraId="337FA28C" w14:textId="77777777" w:rsidR="00E010C6" w:rsidRPr="00FE24A1" w:rsidRDefault="00E010C6" w:rsidP="00E458FA">
      <w:pPr>
        <w:spacing w:after="288" w:line="240" w:lineRule="auto"/>
        <w:ind w:left="142"/>
        <w:rPr>
          <w:rFonts w:asciiTheme="minorHAnsi" w:eastAsia="Times New Roman" w:hAnsiTheme="minorHAnsi" w:cstheme="minorHAnsi"/>
          <w:szCs w:val="24"/>
        </w:rPr>
      </w:pPr>
      <w:r w:rsidRPr="00FE24A1">
        <w:rPr>
          <w:rFonts w:asciiTheme="minorHAnsi" w:eastAsia="Times New Roman" w:hAnsiTheme="minorHAnsi" w:cstheme="minorHAnsi"/>
          <w:szCs w:val="24"/>
        </w:rPr>
        <w:t xml:space="preserve">We feel that further information is required to respond to this </w:t>
      </w:r>
      <w:r w:rsidR="00403535">
        <w:rPr>
          <w:rFonts w:asciiTheme="minorHAnsi" w:eastAsia="Times New Roman" w:hAnsiTheme="minorHAnsi" w:cstheme="minorHAnsi"/>
          <w:szCs w:val="24"/>
        </w:rPr>
        <w:t>definitively</w:t>
      </w:r>
      <w:r w:rsidRPr="00FE24A1">
        <w:rPr>
          <w:rFonts w:asciiTheme="minorHAnsi" w:eastAsia="Times New Roman" w:hAnsiTheme="minorHAnsi" w:cstheme="minorHAnsi"/>
          <w:szCs w:val="24"/>
        </w:rPr>
        <w:t>.</w:t>
      </w:r>
      <w:r w:rsidR="00403535">
        <w:rPr>
          <w:rFonts w:asciiTheme="minorHAnsi" w:eastAsia="Times New Roman" w:hAnsiTheme="minorHAnsi" w:cstheme="minorHAnsi"/>
          <w:szCs w:val="24"/>
        </w:rPr>
        <w:t xml:space="preserve">  Notably, the lack of certainty on QA arrangements in the future make it difficult to assess the overall position - and its likely (in</w:t>
      </w:r>
      <w:proofErr w:type="gramStart"/>
      <w:r w:rsidR="00403535">
        <w:rPr>
          <w:rFonts w:asciiTheme="minorHAnsi" w:eastAsia="Times New Roman" w:hAnsiTheme="minorHAnsi" w:cstheme="minorHAnsi"/>
          <w:szCs w:val="24"/>
        </w:rPr>
        <w:t>)efficiency</w:t>
      </w:r>
      <w:proofErr w:type="gramEnd"/>
      <w:r w:rsidR="00403535">
        <w:rPr>
          <w:rFonts w:asciiTheme="minorHAnsi" w:eastAsia="Times New Roman" w:hAnsiTheme="minorHAnsi" w:cstheme="minorHAnsi"/>
          <w:szCs w:val="24"/>
        </w:rPr>
        <w:t>.</w:t>
      </w:r>
      <w:r w:rsidRPr="00FE24A1">
        <w:rPr>
          <w:rFonts w:asciiTheme="minorHAnsi" w:eastAsia="Times New Roman" w:hAnsiTheme="minorHAnsi" w:cstheme="minorHAnsi"/>
          <w:szCs w:val="24"/>
        </w:rPr>
        <w:t xml:space="preserve"> </w:t>
      </w:r>
    </w:p>
    <w:p w14:paraId="428B9812" w14:textId="77777777" w:rsidR="00E458FA" w:rsidRPr="00E458FA" w:rsidRDefault="00E458FA" w:rsidP="00E458FA">
      <w:pPr>
        <w:spacing w:after="288" w:line="240" w:lineRule="auto"/>
        <w:ind w:left="142"/>
        <w:rPr>
          <w:rFonts w:eastAsia="Times New Roman" w:cs="Times New Roman"/>
          <w:bCs/>
          <w:iCs/>
          <w:szCs w:val="24"/>
        </w:rPr>
      </w:pPr>
      <w:r w:rsidRPr="00E458FA">
        <w:rPr>
          <w:rFonts w:eastAsia="Times New Roman" w:cs="Times New Roman"/>
          <w:bCs/>
          <w:iCs/>
          <w:szCs w:val="24"/>
        </w:rPr>
        <w:t>Question 7: How can we minimise</w:t>
      </w:r>
      <w:r w:rsidR="00000F71">
        <w:rPr>
          <w:rFonts w:eastAsia="Times New Roman" w:cs="Times New Roman"/>
          <w:bCs/>
          <w:iCs/>
          <w:szCs w:val="24"/>
        </w:rPr>
        <w:t xml:space="preserve"> any administrative burdens on i</w:t>
      </w:r>
      <w:r w:rsidRPr="00E458FA">
        <w:rPr>
          <w:rFonts w:eastAsia="Times New Roman" w:cs="Times New Roman"/>
          <w:bCs/>
          <w:iCs/>
          <w:szCs w:val="24"/>
        </w:rPr>
        <w:t>nstitutions?  Please provide any evidence relating to the potential administrative costs and benefits to institutions of the proposals set out in this document.</w:t>
      </w:r>
    </w:p>
    <w:p w14:paraId="0055C1C3" w14:textId="77777777" w:rsidR="00AB2530" w:rsidRPr="005A66F3" w:rsidRDefault="00AB2530" w:rsidP="0059557F">
      <w:pPr>
        <w:spacing w:after="288" w:line="240" w:lineRule="auto"/>
        <w:ind w:left="187"/>
        <w:rPr>
          <w:rFonts w:asciiTheme="minorHAnsi" w:eastAsia="Times New Roman" w:hAnsiTheme="minorHAnsi" w:cs="Arial"/>
          <w:szCs w:val="24"/>
        </w:rPr>
      </w:pPr>
      <w:r w:rsidRPr="005A66F3">
        <w:rPr>
          <w:rFonts w:asciiTheme="minorHAnsi" w:eastAsia="Times New Roman" w:hAnsiTheme="minorHAnsi" w:cs="Arial"/>
          <w:szCs w:val="24"/>
        </w:rPr>
        <w:t>We welcome any proposal which reduce costs and administrative burden on institutions.</w:t>
      </w:r>
    </w:p>
    <w:p w14:paraId="74F6F36F" w14:textId="77777777" w:rsidR="005A66F3" w:rsidRPr="005A66F3" w:rsidRDefault="00D34A0D" w:rsidP="005A66F3">
      <w:pPr>
        <w:pStyle w:val="CommentText"/>
        <w:ind w:left="142"/>
        <w:rPr>
          <w:rFonts w:asciiTheme="minorHAnsi" w:eastAsia="Times New Roman" w:hAnsiTheme="minorHAnsi" w:cs="Arial"/>
          <w:sz w:val="24"/>
          <w:szCs w:val="24"/>
        </w:rPr>
      </w:pPr>
      <w:r w:rsidRPr="005A66F3">
        <w:rPr>
          <w:rFonts w:asciiTheme="minorHAnsi" w:eastAsia="Times New Roman" w:hAnsiTheme="minorHAnsi" w:cs="Arial"/>
          <w:sz w:val="24"/>
          <w:szCs w:val="24"/>
        </w:rPr>
        <w:t xml:space="preserve">However, it is </w:t>
      </w:r>
      <w:r w:rsidR="00A20827">
        <w:rPr>
          <w:rFonts w:asciiTheme="minorHAnsi" w:eastAsia="Times New Roman" w:hAnsiTheme="minorHAnsi" w:cs="Arial"/>
          <w:sz w:val="24"/>
          <w:szCs w:val="24"/>
        </w:rPr>
        <w:t>very possible</w:t>
      </w:r>
      <w:r w:rsidRPr="005A66F3">
        <w:rPr>
          <w:rFonts w:asciiTheme="minorHAnsi" w:eastAsia="Times New Roman" w:hAnsiTheme="minorHAnsi" w:cs="Arial"/>
          <w:sz w:val="24"/>
          <w:szCs w:val="24"/>
        </w:rPr>
        <w:t xml:space="preserve"> that the HEFCE proposals will be rather more burdensome than the TEF proposals, which is one reason for </w:t>
      </w:r>
      <w:r w:rsidR="005A66F3" w:rsidRPr="005A66F3">
        <w:rPr>
          <w:rFonts w:asciiTheme="minorHAnsi" w:eastAsia="Times New Roman" w:hAnsiTheme="minorHAnsi" w:cs="Arial"/>
          <w:sz w:val="24"/>
          <w:szCs w:val="24"/>
        </w:rPr>
        <w:t xml:space="preserve">it being essential that the </w:t>
      </w:r>
      <w:r w:rsidRPr="005A66F3">
        <w:rPr>
          <w:rFonts w:asciiTheme="minorHAnsi" w:eastAsia="Times New Roman" w:hAnsiTheme="minorHAnsi" w:cs="Arial"/>
          <w:sz w:val="24"/>
          <w:szCs w:val="24"/>
        </w:rPr>
        <w:t xml:space="preserve">two </w:t>
      </w:r>
      <w:r w:rsidR="005A66F3" w:rsidRPr="005A66F3">
        <w:rPr>
          <w:rFonts w:asciiTheme="minorHAnsi" w:eastAsia="Times New Roman" w:hAnsiTheme="minorHAnsi" w:cs="Arial"/>
          <w:sz w:val="24"/>
          <w:szCs w:val="24"/>
        </w:rPr>
        <w:t>dovetail efficiently</w:t>
      </w:r>
      <w:r w:rsidR="00E8454D" w:rsidRPr="005A66F3">
        <w:rPr>
          <w:rFonts w:asciiTheme="minorHAnsi" w:eastAsia="Times New Roman" w:hAnsiTheme="minorHAnsi" w:cs="Arial"/>
          <w:sz w:val="24"/>
          <w:szCs w:val="24"/>
        </w:rPr>
        <w:t>. I</w:t>
      </w:r>
      <w:r w:rsidR="008735FA" w:rsidRPr="005A66F3">
        <w:rPr>
          <w:rFonts w:asciiTheme="minorHAnsi" w:eastAsia="Times New Roman" w:hAnsiTheme="minorHAnsi" w:cs="Arial"/>
          <w:sz w:val="24"/>
          <w:szCs w:val="24"/>
        </w:rPr>
        <w:t xml:space="preserve">t should be noted that TEF + QA = considerably more than institutions are required to do now, which means our teaching staff will be involved with an administrative task rather than with their teaching. </w:t>
      </w:r>
      <w:r w:rsidR="005A66F3" w:rsidRPr="005A66F3">
        <w:rPr>
          <w:rFonts w:asciiTheme="minorHAnsi" w:eastAsia="Times New Roman" w:hAnsiTheme="minorHAnsi" w:cs="Arial"/>
          <w:sz w:val="24"/>
          <w:szCs w:val="24"/>
        </w:rPr>
        <w:t>As always ‘the devil will be in the detail’ and we do not currently have the detail in order to identify resources required for the TEF. What lessons have been learnt about the cost of the R</w:t>
      </w:r>
      <w:r w:rsidR="00D21E35">
        <w:rPr>
          <w:rFonts w:asciiTheme="minorHAnsi" w:eastAsia="Times New Roman" w:hAnsiTheme="minorHAnsi" w:cs="Arial"/>
          <w:sz w:val="24"/>
          <w:szCs w:val="24"/>
        </w:rPr>
        <w:t>EF</w:t>
      </w:r>
      <w:r w:rsidR="005A66F3" w:rsidRPr="005A66F3">
        <w:rPr>
          <w:rFonts w:asciiTheme="minorHAnsi" w:eastAsia="Times New Roman" w:hAnsiTheme="minorHAnsi" w:cs="Arial"/>
          <w:sz w:val="24"/>
          <w:szCs w:val="24"/>
        </w:rPr>
        <w:t xml:space="preserve"> and Subject Review? If the TEF is on a discipline basis the cost could be enormous!  Again, it conflicts with the stated intentions of the Paper and could prove disproportionate to any benefits of the TEF to the sector.</w:t>
      </w:r>
    </w:p>
    <w:p w14:paraId="40E5DFDD" w14:textId="77777777" w:rsidR="00E010C6" w:rsidRPr="005A66F3" w:rsidRDefault="00E010C6" w:rsidP="00E022DA">
      <w:pPr>
        <w:pStyle w:val="CommentText"/>
        <w:ind w:left="142"/>
        <w:rPr>
          <w:rFonts w:asciiTheme="minorHAnsi" w:eastAsia="Times New Roman" w:hAnsiTheme="minorHAnsi" w:cs="Arial"/>
          <w:sz w:val="24"/>
          <w:szCs w:val="24"/>
        </w:rPr>
      </w:pPr>
      <w:r w:rsidRPr="005A66F3">
        <w:rPr>
          <w:rFonts w:asciiTheme="minorHAnsi" w:eastAsia="Times New Roman" w:hAnsiTheme="minorHAnsi" w:cs="Arial"/>
          <w:sz w:val="24"/>
          <w:szCs w:val="24"/>
        </w:rPr>
        <w:t xml:space="preserve">In regard to the TEF it is possible that resource will shift to data systems, </w:t>
      </w:r>
      <w:r w:rsidR="00E022DA" w:rsidRPr="005A66F3">
        <w:rPr>
          <w:rFonts w:asciiTheme="minorHAnsi" w:eastAsia="Times New Roman" w:hAnsiTheme="minorHAnsi" w:cs="Arial"/>
          <w:sz w:val="24"/>
          <w:szCs w:val="24"/>
        </w:rPr>
        <w:t>rather than being spent on enhancing teaching or improving the student experience</w:t>
      </w:r>
      <w:r w:rsidR="00DD34AF">
        <w:rPr>
          <w:rFonts w:asciiTheme="minorHAnsi" w:eastAsia="Times New Roman" w:hAnsiTheme="minorHAnsi" w:cs="Arial"/>
          <w:sz w:val="24"/>
          <w:szCs w:val="24"/>
        </w:rPr>
        <w:t>,</w:t>
      </w:r>
      <w:r w:rsidR="00E022DA" w:rsidRPr="005A66F3">
        <w:rPr>
          <w:rFonts w:asciiTheme="minorHAnsi" w:eastAsia="Times New Roman" w:hAnsiTheme="minorHAnsi" w:cs="Arial"/>
          <w:sz w:val="24"/>
          <w:szCs w:val="24"/>
        </w:rPr>
        <w:t xml:space="preserve"> </w:t>
      </w:r>
      <w:r w:rsidRPr="005A66F3">
        <w:rPr>
          <w:rFonts w:asciiTheme="minorHAnsi" w:eastAsia="Times New Roman" w:hAnsiTheme="minorHAnsi" w:cs="Arial"/>
          <w:sz w:val="24"/>
          <w:szCs w:val="24"/>
        </w:rPr>
        <w:t xml:space="preserve">which will have resourcing implications for institutions. </w:t>
      </w:r>
    </w:p>
    <w:p w14:paraId="4DC9F0C9" w14:textId="77777777" w:rsidR="00E8454D" w:rsidRPr="005A66F3" w:rsidRDefault="00E8454D" w:rsidP="005A4ABC">
      <w:pPr>
        <w:spacing w:after="288" w:line="240" w:lineRule="auto"/>
        <w:ind w:left="142"/>
        <w:rPr>
          <w:rFonts w:asciiTheme="minorHAnsi" w:eastAsia="Times New Roman" w:hAnsiTheme="minorHAnsi" w:cs="Arial"/>
          <w:szCs w:val="24"/>
        </w:rPr>
      </w:pPr>
      <w:r w:rsidRPr="005A66F3">
        <w:rPr>
          <w:rFonts w:asciiTheme="minorHAnsi" w:eastAsia="Times New Roman" w:hAnsiTheme="minorHAnsi" w:cs="Arial"/>
          <w:szCs w:val="24"/>
        </w:rPr>
        <w:t>We continue to have more questions than answers and we signal our further concerns at the end of the survey. We are concerned about the absence of a coherent approach</w:t>
      </w:r>
      <w:r w:rsidR="00DD34AF">
        <w:rPr>
          <w:rFonts w:asciiTheme="minorHAnsi" w:eastAsia="Times New Roman" w:hAnsiTheme="minorHAnsi" w:cs="Arial"/>
          <w:szCs w:val="24"/>
        </w:rPr>
        <w:t>: for example, in areas w</w:t>
      </w:r>
      <w:r w:rsidRPr="005A66F3">
        <w:rPr>
          <w:rFonts w:asciiTheme="minorHAnsi" w:eastAsia="Times New Roman" w:hAnsiTheme="minorHAnsi" w:cs="Arial"/>
          <w:szCs w:val="24"/>
        </w:rPr>
        <w:t xml:space="preserve">here </w:t>
      </w:r>
      <w:r w:rsidR="00DD34AF">
        <w:rPr>
          <w:rFonts w:asciiTheme="minorHAnsi" w:eastAsia="Times New Roman" w:hAnsiTheme="minorHAnsi" w:cs="Arial"/>
          <w:szCs w:val="24"/>
        </w:rPr>
        <w:t>revision of p</w:t>
      </w:r>
      <w:r w:rsidRPr="005A66F3">
        <w:rPr>
          <w:rFonts w:asciiTheme="minorHAnsi" w:eastAsia="Times New Roman" w:hAnsiTheme="minorHAnsi" w:cs="Arial"/>
          <w:szCs w:val="24"/>
        </w:rPr>
        <w:t xml:space="preserve">rimary legislation </w:t>
      </w:r>
      <w:r w:rsidR="00DD34AF">
        <w:rPr>
          <w:rFonts w:asciiTheme="minorHAnsi" w:eastAsia="Times New Roman" w:hAnsiTheme="minorHAnsi" w:cs="Arial"/>
          <w:szCs w:val="24"/>
        </w:rPr>
        <w:t>is required</w:t>
      </w:r>
      <w:r w:rsidRPr="005A66F3">
        <w:rPr>
          <w:rFonts w:asciiTheme="minorHAnsi" w:eastAsia="Times New Roman" w:hAnsiTheme="minorHAnsi" w:cs="Arial"/>
          <w:szCs w:val="24"/>
        </w:rPr>
        <w:t xml:space="preserve"> before we can address some of the technical implementation issues.</w:t>
      </w:r>
    </w:p>
    <w:p w14:paraId="57271E25" w14:textId="77777777" w:rsidR="00E458FA" w:rsidRPr="004179B6" w:rsidRDefault="00E458FA" w:rsidP="00E458FA">
      <w:pPr>
        <w:spacing w:after="288" w:line="240" w:lineRule="auto"/>
        <w:ind w:left="142"/>
        <w:rPr>
          <w:rFonts w:eastAsia="Times New Roman" w:cs="Times New Roman"/>
          <w:bCs/>
          <w:iCs/>
          <w:szCs w:val="24"/>
        </w:rPr>
      </w:pPr>
      <w:r w:rsidRPr="004179B6">
        <w:rPr>
          <w:rFonts w:eastAsia="Times New Roman" w:cs="Times New Roman"/>
          <w:bCs/>
          <w:iCs/>
          <w:szCs w:val="24"/>
        </w:rPr>
        <w:t xml:space="preserve">Question 8: Do you agree with the proposed approach to differentiation and award as TEF develops over time?  </w:t>
      </w:r>
    </w:p>
    <w:p w14:paraId="12BC4417" w14:textId="77777777" w:rsidR="00E458FA" w:rsidRPr="004179B6" w:rsidRDefault="00E458FA" w:rsidP="00E458FA">
      <w:pPr>
        <w:tabs>
          <w:tab w:val="left" w:pos="567"/>
        </w:tabs>
        <w:spacing w:after="288" w:line="240" w:lineRule="auto"/>
        <w:ind w:left="142"/>
        <w:rPr>
          <w:rFonts w:eastAsia="Times New Roman" w:cs="Times New Roman"/>
          <w:szCs w:val="24"/>
        </w:rPr>
      </w:pPr>
      <w:r w:rsidRPr="004179B6">
        <w:rPr>
          <w:rFonts w:eastAsia="Times New Roman" w:cs="Times New Roman"/>
          <w:szCs w:val="24"/>
        </w:rPr>
        <w:t xml:space="preserve">        </w:t>
      </w:r>
      <w:sdt>
        <w:sdtPr>
          <w:rPr>
            <w:rFonts w:eastAsia="Times New Roman" w:cs="Times New Roman"/>
            <w:szCs w:val="24"/>
          </w:rPr>
          <w:id w:val="1739120124"/>
        </w:sdtPr>
        <w:sdtEndPr/>
        <w:sdtContent>
          <w:r w:rsidRPr="004179B6">
            <w:rPr>
              <w:rFonts w:ascii="MS Gothic" w:eastAsia="MS Gothic" w:hAnsi="MS Gothic" w:cs="MS Gothic" w:hint="eastAsia"/>
              <w:szCs w:val="24"/>
            </w:rPr>
            <w:t>☐</w:t>
          </w:r>
        </w:sdtContent>
      </w:sdt>
      <w:r w:rsidRPr="004179B6">
        <w:rPr>
          <w:rFonts w:eastAsia="Times New Roman" w:cs="Times New Roman"/>
          <w:szCs w:val="24"/>
        </w:rPr>
        <w:t xml:space="preserve"> Yes</w:t>
      </w:r>
      <w:r w:rsidRPr="004179B6">
        <w:rPr>
          <w:rFonts w:eastAsia="Times New Roman" w:cs="Times New Roman"/>
          <w:szCs w:val="24"/>
        </w:rPr>
        <w:tab/>
      </w:r>
      <w:r w:rsidRPr="004179B6">
        <w:rPr>
          <w:rFonts w:eastAsia="Times New Roman" w:cs="Times New Roman"/>
          <w:szCs w:val="24"/>
        </w:rPr>
        <w:tab/>
      </w:r>
      <w:sdt>
        <w:sdtPr>
          <w:rPr>
            <w:rFonts w:eastAsia="Times New Roman" w:cs="Times New Roman"/>
            <w:szCs w:val="24"/>
          </w:rPr>
          <w:id w:val="2083635735"/>
        </w:sdtPr>
        <w:sdtEndPr/>
        <w:sdtContent>
          <w:r w:rsidRPr="004179B6">
            <w:rPr>
              <w:rFonts w:ascii="MS Gothic" w:eastAsia="MS Gothic" w:hAnsi="MS Gothic" w:cs="MS Gothic" w:hint="eastAsia"/>
              <w:szCs w:val="24"/>
            </w:rPr>
            <w:t>☐</w:t>
          </w:r>
        </w:sdtContent>
      </w:sdt>
      <w:r w:rsidRPr="004179B6">
        <w:rPr>
          <w:rFonts w:eastAsia="Times New Roman" w:cs="Times New Roman"/>
          <w:szCs w:val="24"/>
        </w:rPr>
        <w:t xml:space="preserve"> No</w:t>
      </w:r>
      <w:r w:rsidRPr="004179B6">
        <w:rPr>
          <w:rFonts w:eastAsia="Times New Roman" w:cs="Times New Roman"/>
          <w:szCs w:val="24"/>
        </w:rPr>
        <w:tab/>
      </w:r>
      <w:r w:rsidRPr="004179B6">
        <w:rPr>
          <w:rFonts w:eastAsia="Times New Roman" w:cs="Times New Roman"/>
          <w:szCs w:val="24"/>
        </w:rPr>
        <w:tab/>
      </w:r>
      <w:r w:rsidRPr="004179B6">
        <w:rPr>
          <w:rFonts w:eastAsia="Times New Roman" w:cs="Times New Roman"/>
          <w:szCs w:val="24"/>
        </w:rPr>
        <w:tab/>
      </w:r>
      <w:sdt>
        <w:sdtPr>
          <w:rPr>
            <w:rFonts w:eastAsia="Times New Roman" w:cs="Times New Roman"/>
            <w:szCs w:val="24"/>
          </w:rPr>
          <w:id w:val="1563133339"/>
        </w:sdtPr>
        <w:sdtEndPr/>
        <w:sdtContent>
          <w:r w:rsidR="008429B2" w:rsidRPr="004179B6">
            <w:rPr>
              <w:rFonts w:ascii="MS Gothic" w:eastAsia="MS Gothic" w:hAnsi="MS Gothic" w:cs="Times New Roman" w:hint="eastAsia"/>
              <w:szCs w:val="24"/>
            </w:rPr>
            <w:t>☒</w:t>
          </w:r>
        </w:sdtContent>
      </w:sdt>
      <w:r w:rsidRPr="004179B6">
        <w:rPr>
          <w:rFonts w:eastAsia="Times New Roman" w:cs="Times New Roman"/>
          <w:szCs w:val="24"/>
        </w:rPr>
        <w:t xml:space="preserve"> </w:t>
      </w:r>
      <w:proofErr w:type="gramStart"/>
      <w:r w:rsidRPr="004179B6">
        <w:rPr>
          <w:rFonts w:eastAsia="Times New Roman" w:cs="Times New Roman"/>
          <w:szCs w:val="24"/>
        </w:rPr>
        <w:t>Not</w:t>
      </w:r>
      <w:proofErr w:type="gramEnd"/>
      <w:r w:rsidRPr="004179B6">
        <w:rPr>
          <w:rFonts w:eastAsia="Times New Roman" w:cs="Times New Roman"/>
          <w:szCs w:val="24"/>
        </w:rPr>
        <w:t xml:space="preserve"> sure</w:t>
      </w:r>
    </w:p>
    <w:p w14:paraId="5B8CE73E" w14:textId="77777777" w:rsidR="00E458FA" w:rsidRPr="004179B6" w:rsidRDefault="00E458FA" w:rsidP="00E458FA">
      <w:pPr>
        <w:spacing w:after="288" w:line="240" w:lineRule="auto"/>
        <w:ind w:left="142"/>
        <w:rPr>
          <w:rFonts w:eastAsia="Times New Roman" w:cs="Times New Roman"/>
          <w:bCs/>
          <w:iCs/>
          <w:szCs w:val="24"/>
        </w:rPr>
      </w:pPr>
      <w:r w:rsidRPr="004179B6">
        <w:rPr>
          <w:rFonts w:eastAsia="Times New Roman" w:cs="Times New Roman"/>
          <w:bCs/>
          <w:iCs/>
          <w:szCs w:val="24"/>
        </w:rPr>
        <w:t>Please give reasons for your answer.</w:t>
      </w:r>
    </w:p>
    <w:p w14:paraId="47901AE7" w14:textId="77777777" w:rsidR="00276E01" w:rsidRPr="00BF4D24" w:rsidRDefault="004179B6" w:rsidP="004179B6">
      <w:pPr>
        <w:spacing w:after="288" w:line="240" w:lineRule="auto"/>
        <w:ind w:left="142"/>
        <w:rPr>
          <w:rFonts w:asciiTheme="minorHAnsi" w:eastAsia="Times New Roman" w:hAnsiTheme="minorHAnsi" w:cs="Arial"/>
          <w:szCs w:val="24"/>
        </w:rPr>
      </w:pPr>
      <w:r w:rsidRPr="00BF4D24">
        <w:rPr>
          <w:rFonts w:asciiTheme="minorHAnsi" w:eastAsia="Times New Roman" w:hAnsiTheme="minorHAnsi" w:cs="Arial"/>
          <w:szCs w:val="24"/>
        </w:rPr>
        <w:t xml:space="preserve">We would welcome further information on consideration of utilising information on the ‘amount and quality of student study’, contribution to social mobility and the encouragement and reward of excellent teachers. </w:t>
      </w:r>
    </w:p>
    <w:p w14:paraId="7E64E08A" w14:textId="77777777" w:rsidR="00E458FA" w:rsidRPr="00BF4D24" w:rsidRDefault="00276E01" w:rsidP="004179B6">
      <w:pPr>
        <w:spacing w:after="288" w:line="240" w:lineRule="auto"/>
        <w:ind w:left="142"/>
        <w:rPr>
          <w:rFonts w:asciiTheme="minorHAnsi" w:eastAsia="Times New Roman" w:hAnsiTheme="minorHAnsi" w:cs="Arial"/>
          <w:szCs w:val="24"/>
        </w:rPr>
      </w:pPr>
      <w:r w:rsidRPr="00BF4D24">
        <w:rPr>
          <w:rFonts w:asciiTheme="minorHAnsi" w:eastAsia="Times New Roman" w:hAnsiTheme="minorHAnsi" w:cs="Arial"/>
          <w:szCs w:val="24"/>
        </w:rPr>
        <w:lastRenderedPageBreak/>
        <w:t>Providers take seriously their responsibilities to promote students’ engagement with their learning, but w</w:t>
      </w:r>
      <w:r w:rsidR="004179B6" w:rsidRPr="00BF4D24">
        <w:rPr>
          <w:rFonts w:asciiTheme="minorHAnsi" w:eastAsia="Times New Roman" w:hAnsiTheme="minorHAnsi" w:cs="Arial"/>
          <w:szCs w:val="24"/>
        </w:rPr>
        <w:t>e are not sure that institutions can be held responsible for the ‘quality’ of student study</w:t>
      </w:r>
      <w:r w:rsidR="000F289F">
        <w:rPr>
          <w:rFonts w:asciiTheme="minorHAnsi" w:eastAsia="Times New Roman" w:hAnsiTheme="minorHAnsi" w:cs="Arial"/>
          <w:szCs w:val="24"/>
        </w:rPr>
        <w:t>, and</w:t>
      </w:r>
      <w:r w:rsidR="004179B6" w:rsidRPr="00BF4D24">
        <w:rPr>
          <w:rFonts w:asciiTheme="minorHAnsi" w:eastAsia="Times New Roman" w:hAnsiTheme="minorHAnsi" w:cs="Arial"/>
          <w:szCs w:val="24"/>
        </w:rPr>
        <w:t xml:space="preserve"> rather believe that </w:t>
      </w:r>
      <w:r w:rsidR="000F289F">
        <w:rPr>
          <w:rFonts w:asciiTheme="minorHAnsi" w:eastAsia="Times New Roman" w:hAnsiTheme="minorHAnsi" w:cs="Arial"/>
          <w:szCs w:val="24"/>
        </w:rPr>
        <w:t>it</w:t>
      </w:r>
      <w:r w:rsidR="004179B6" w:rsidRPr="00BF4D24">
        <w:rPr>
          <w:rFonts w:asciiTheme="minorHAnsi" w:eastAsia="Times New Roman" w:hAnsiTheme="minorHAnsi" w:cs="Arial"/>
          <w:szCs w:val="24"/>
        </w:rPr>
        <w:t xml:space="preserve"> is the responsibility of individual students to take advantage of the opportunities offered by a higher education. </w:t>
      </w:r>
      <w:r w:rsidRPr="00BF4D24">
        <w:rPr>
          <w:rFonts w:asciiTheme="minorHAnsi" w:eastAsia="Times New Roman" w:hAnsiTheme="minorHAnsi" w:cs="Arial"/>
          <w:szCs w:val="24"/>
        </w:rPr>
        <w:t>There is no necessary correlation here between excellence of teaching and excellent learning.</w:t>
      </w:r>
      <w:r w:rsidR="00BF4D24" w:rsidRPr="00BF4D24">
        <w:rPr>
          <w:rFonts w:asciiTheme="minorHAnsi" w:eastAsia="Times New Roman" w:hAnsiTheme="minorHAnsi" w:cs="Arial"/>
          <w:szCs w:val="24"/>
        </w:rPr>
        <w:t xml:space="preserve">  </w:t>
      </w:r>
      <w:r w:rsidR="00E1268E">
        <w:rPr>
          <w:rFonts w:asciiTheme="minorHAnsi" w:eastAsia="Times New Roman" w:hAnsiTheme="minorHAnsi" w:cs="Arial"/>
          <w:szCs w:val="24"/>
        </w:rPr>
        <w:t>S</w:t>
      </w:r>
      <w:r w:rsidR="00BF4D24" w:rsidRPr="00BF4D24">
        <w:rPr>
          <w:rFonts w:asciiTheme="minorHAnsi" w:eastAsia="Times New Roman" w:hAnsiTheme="minorHAnsi" w:cs="Arial"/>
          <w:szCs w:val="24"/>
        </w:rPr>
        <w:t xml:space="preserve">tudents are not mere </w:t>
      </w:r>
      <w:r w:rsidR="000F289F">
        <w:rPr>
          <w:rFonts w:asciiTheme="minorHAnsi" w:eastAsia="Times New Roman" w:hAnsiTheme="minorHAnsi" w:cs="Arial"/>
          <w:szCs w:val="24"/>
        </w:rPr>
        <w:t>p</w:t>
      </w:r>
      <w:r w:rsidR="00BF4D24" w:rsidRPr="00BF4D24">
        <w:rPr>
          <w:rFonts w:asciiTheme="minorHAnsi" w:eastAsia="Times New Roman" w:hAnsiTheme="minorHAnsi" w:cs="Arial"/>
          <w:szCs w:val="24"/>
        </w:rPr>
        <w:t>assive recipients of goods and services.</w:t>
      </w:r>
    </w:p>
    <w:p w14:paraId="7F06F90D" w14:textId="77777777" w:rsidR="001A2EBB" w:rsidRPr="00BF4D24" w:rsidRDefault="001A2EBB" w:rsidP="004179B6">
      <w:pPr>
        <w:spacing w:after="288" w:line="240" w:lineRule="auto"/>
        <w:ind w:left="142"/>
        <w:rPr>
          <w:rFonts w:asciiTheme="minorHAnsi" w:eastAsia="Times New Roman" w:hAnsiTheme="minorHAnsi" w:cs="Arial"/>
          <w:szCs w:val="24"/>
        </w:rPr>
      </w:pPr>
      <w:r w:rsidRPr="00BF4D24">
        <w:rPr>
          <w:rFonts w:asciiTheme="minorHAnsi" w:eastAsia="Times New Roman" w:hAnsiTheme="minorHAnsi" w:cs="Arial"/>
          <w:szCs w:val="24"/>
        </w:rPr>
        <w:t>Differentiation may only be useful at the discipline-level; it is likely, however, that all institutions will aim for Level 4</w:t>
      </w:r>
      <w:r w:rsidR="000F289F">
        <w:rPr>
          <w:rFonts w:asciiTheme="minorHAnsi" w:eastAsia="Times New Roman" w:hAnsiTheme="minorHAnsi" w:cs="Arial"/>
          <w:szCs w:val="24"/>
        </w:rPr>
        <w:t>,</w:t>
      </w:r>
      <w:r w:rsidRPr="00BF4D24">
        <w:rPr>
          <w:rFonts w:asciiTheme="minorHAnsi" w:eastAsia="Times New Roman" w:hAnsiTheme="minorHAnsi" w:cs="Arial"/>
          <w:szCs w:val="24"/>
        </w:rPr>
        <w:t xml:space="preserve"> thus negating any possible benefits. </w:t>
      </w:r>
    </w:p>
    <w:p w14:paraId="498D6FB8" w14:textId="77777777" w:rsidR="007F36BF" w:rsidRPr="00BF4D24" w:rsidRDefault="0069287F" w:rsidP="004179B6">
      <w:pPr>
        <w:spacing w:after="288" w:line="240" w:lineRule="auto"/>
        <w:ind w:left="142"/>
        <w:rPr>
          <w:rFonts w:asciiTheme="minorHAnsi" w:eastAsia="Times New Roman" w:hAnsiTheme="minorHAnsi" w:cs="Arial"/>
          <w:szCs w:val="24"/>
        </w:rPr>
      </w:pPr>
      <w:r w:rsidRPr="00BF4D24">
        <w:rPr>
          <w:rFonts w:asciiTheme="minorHAnsi" w:eastAsia="Times New Roman" w:hAnsiTheme="minorHAnsi" w:cs="Arial"/>
          <w:szCs w:val="24"/>
        </w:rPr>
        <w:t>Again, in this regard w</w:t>
      </w:r>
      <w:r w:rsidR="007F36BF" w:rsidRPr="00BF4D24">
        <w:rPr>
          <w:rFonts w:asciiTheme="minorHAnsi" w:eastAsia="Times New Roman" w:hAnsiTheme="minorHAnsi" w:cs="Arial"/>
          <w:szCs w:val="24"/>
        </w:rPr>
        <w:t>e have concern</w:t>
      </w:r>
      <w:r w:rsidR="00E1268E">
        <w:rPr>
          <w:rFonts w:asciiTheme="minorHAnsi" w:eastAsia="Times New Roman" w:hAnsiTheme="minorHAnsi" w:cs="Arial"/>
          <w:szCs w:val="24"/>
        </w:rPr>
        <w:t>s</w:t>
      </w:r>
      <w:r w:rsidR="007F36BF" w:rsidRPr="00BF4D24">
        <w:rPr>
          <w:rFonts w:asciiTheme="minorHAnsi" w:eastAsia="Times New Roman" w:hAnsiTheme="minorHAnsi" w:cs="Arial"/>
          <w:szCs w:val="24"/>
        </w:rPr>
        <w:t xml:space="preserve"> about financial cost to institutions, given the cost of potentially paying a subscription to the new </w:t>
      </w:r>
      <w:proofErr w:type="spellStart"/>
      <w:r w:rsidR="007F36BF" w:rsidRPr="00BF4D24">
        <w:rPr>
          <w:rFonts w:asciiTheme="minorHAnsi" w:eastAsia="Times New Roman" w:hAnsiTheme="minorHAnsi" w:cs="Arial"/>
          <w:szCs w:val="24"/>
        </w:rPr>
        <w:t>OfS</w:t>
      </w:r>
      <w:proofErr w:type="spellEnd"/>
      <w:r w:rsidR="007F36BF" w:rsidRPr="00BF4D24">
        <w:rPr>
          <w:rFonts w:asciiTheme="minorHAnsi" w:eastAsia="Times New Roman" w:hAnsiTheme="minorHAnsi" w:cs="Arial"/>
          <w:szCs w:val="24"/>
        </w:rPr>
        <w:t>, as well as the administrative cost likely to be associated with TEF preparation.</w:t>
      </w:r>
    </w:p>
    <w:p w14:paraId="5203B365" w14:textId="77777777"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 xml:space="preserve">Question 9: Do you agree with the proposed approach to incentives for the different types of provider?  </w:t>
      </w:r>
    </w:p>
    <w:p w14:paraId="73060374" w14:textId="77777777" w:rsidR="00E458FA" w:rsidRPr="00E458FA" w:rsidRDefault="00E458FA" w:rsidP="00E458FA">
      <w:pPr>
        <w:tabs>
          <w:tab w:val="left" w:pos="567"/>
        </w:tabs>
        <w:spacing w:after="288" w:line="240" w:lineRule="auto"/>
        <w:ind w:left="142"/>
        <w:rPr>
          <w:rFonts w:eastAsia="Times New Roman" w:cs="Times New Roman"/>
          <w:szCs w:val="24"/>
        </w:rPr>
      </w:pPr>
      <w:r w:rsidRPr="00E458FA">
        <w:rPr>
          <w:rFonts w:eastAsia="Times New Roman" w:cs="Times New Roman"/>
          <w:szCs w:val="24"/>
        </w:rPr>
        <w:t xml:space="preserve">        </w:t>
      </w:r>
      <w:sdt>
        <w:sdtPr>
          <w:rPr>
            <w:rFonts w:eastAsia="Times New Roman" w:cs="Times New Roman"/>
            <w:szCs w:val="24"/>
          </w:rPr>
          <w:id w:val="1995140120"/>
        </w:sdtPr>
        <w:sdtEndPr/>
        <w:sdtContent>
          <w:r w:rsidR="00B04F10">
            <w:rPr>
              <w:rFonts w:ascii="MS Gothic" w:eastAsia="MS Gothic" w:hAnsi="MS Gothic" w:cs="Times New Roman" w:hint="eastAsia"/>
              <w:szCs w:val="24"/>
            </w:rPr>
            <w:t>☐</w:t>
          </w:r>
        </w:sdtContent>
      </w:sdt>
      <w:r w:rsidRPr="00E458FA">
        <w:rPr>
          <w:rFonts w:eastAsia="Times New Roman" w:cs="Times New Roman"/>
          <w:szCs w:val="24"/>
        </w:rPr>
        <w:t xml:space="preserve"> Yes</w:t>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651716966"/>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975829569"/>
        </w:sdtPr>
        <w:sdtEndPr/>
        <w:sdtContent>
          <w:r w:rsidR="00B04F10">
            <w:rPr>
              <w:rFonts w:ascii="MS Gothic" w:eastAsia="MS Gothic" w:hAnsi="MS Gothic" w:cs="Times New Roman" w:hint="eastAsia"/>
              <w:szCs w:val="24"/>
            </w:rPr>
            <w:t>☒</w:t>
          </w:r>
        </w:sdtContent>
      </w:sdt>
      <w:r w:rsidRPr="00E458FA">
        <w:rPr>
          <w:rFonts w:eastAsia="Times New Roman" w:cs="Times New Roman"/>
          <w:szCs w:val="24"/>
        </w:rPr>
        <w:t xml:space="preserve"> </w:t>
      </w:r>
      <w:proofErr w:type="gramStart"/>
      <w:r w:rsidRPr="00E458FA">
        <w:rPr>
          <w:rFonts w:eastAsia="Times New Roman" w:cs="Times New Roman"/>
          <w:szCs w:val="24"/>
        </w:rPr>
        <w:t>Not</w:t>
      </w:r>
      <w:proofErr w:type="gramEnd"/>
      <w:r w:rsidRPr="00E458FA">
        <w:rPr>
          <w:rFonts w:eastAsia="Times New Roman" w:cs="Times New Roman"/>
          <w:szCs w:val="24"/>
        </w:rPr>
        <w:t xml:space="preserve"> sure</w:t>
      </w:r>
    </w:p>
    <w:p w14:paraId="48BF6A35" w14:textId="77777777"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Please give reasons for your answer.</w:t>
      </w:r>
    </w:p>
    <w:p w14:paraId="725A50D6" w14:textId="77777777" w:rsidR="00580E5C" w:rsidRPr="00580E5C" w:rsidRDefault="003F25C9" w:rsidP="003F25C9">
      <w:pPr>
        <w:tabs>
          <w:tab w:val="left" w:pos="567"/>
        </w:tabs>
        <w:spacing w:after="288" w:line="240" w:lineRule="auto"/>
        <w:ind w:left="142" w:right="11"/>
        <w:rPr>
          <w:rFonts w:asciiTheme="minorHAnsi" w:eastAsia="Times New Roman" w:hAnsiTheme="minorHAnsi" w:cs="Arial"/>
          <w:szCs w:val="24"/>
        </w:rPr>
      </w:pPr>
      <w:r w:rsidRPr="00580E5C">
        <w:rPr>
          <w:rFonts w:asciiTheme="minorHAnsi" w:eastAsia="Times New Roman" w:hAnsiTheme="minorHAnsi" w:cs="Arial"/>
          <w:szCs w:val="24"/>
        </w:rPr>
        <w:t xml:space="preserve">Incentives should apply to all providers, although reputational advantage may not in itself be sufficient. Any approach needs to avoid ‘gaming’ it that it becomes about delivering ‘good metrics’ rather than ‘good teaching’. </w:t>
      </w:r>
    </w:p>
    <w:p w14:paraId="0DDC1CED" w14:textId="77777777" w:rsidR="003F25C9" w:rsidRPr="00580E5C" w:rsidRDefault="003F25C9" w:rsidP="003F25C9">
      <w:pPr>
        <w:tabs>
          <w:tab w:val="left" w:pos="567"/>
        </w:tabs>
        <w:spacing w:after="288" w:line="240" w:lineRule="auto"/>
        <w:ind w:left="142" w:right="11"/>
        <w:rPr>
          <w:rFonts w:asciiTheme="minorHAnsi" w:eastAsia="Times New Roman" w:hAnsiTheme="minorHAnsi" w:cs="Arial"/>
          <w:szCs w:val="24"/>
        </w:rPr>
      </w:pPr>
      <w:r w:rsidRPr="00580E5C">
        <w:rPr>
          <w:rFonts w:asciiTheme="minorHAnsi" w:eastAsia="Times New Roman" w:hAnsiTheme="minorHAnsi" w:cs="Arial"/>
          <w:szCs w:val="24"/>
        </w:rPr>
        <w:t xml:space="preserve">We would also welcome evidence of the ‘lamentable’ teaching that has been referred to, to allow </w:t>
      </w:r>
      <w:r w:rsidR="0063345F">
        <w:rPr>
          <w:rFonts w:asciiTheme="minorHAnsi" w:eastAsia="Times New Roman" w:hAnsiTheme="minorHAnsi" w:cs="Arial"/>
          <w:szCs w:val="24"/>
        </w:rPr>
        <w:t>the sector</w:t>
      </w:r>
      <w:r w:rsidRPr="00580E5C">
        <w:rPr>
          <w:rFonts w:asciiTheme="minorHAnsi" w:eastAsia="Times New Roman" w:hAnsiTheme="minorHAnsi" w:cs="Arial"/>
          <w:szCs w:val="24"/>
        </w:rPr>
        <w:t xml:space="preserve"> to focus our efforts where needed.</w:t>
      </w:r>
    </w:p>
    <w:p w14:paraId="504E7B40" w14:textId="77777777" w:rsidR="005164E8" w:rsidRPr="00580E5C" w:rsidRDefault="005164E8" w:rsidP="003F25C9">
      <w:pPr>
        <w:tabs>
          <w:tab w:val="left" w:pos="567"/>
        </w:tabs>
        <w:spacing w:after="288" w:line="240" w:lineRule="auto"/>
        <w:ind w:left="142" w:right="11"/>
        <w:rPr>
          <w:rFonts w:asciiTheme="minorHAnsi" w:eastAsia="Times New Roman" w:hAnsiTheme="minorHAnsi" w:cs="Arial"/>
          <w:szCs w:val="24"/>
        </w:rPr>
      </w:pPr>
      <w:r w:rsidRPr="00580E5C">
        <w:rPr>
          <w:rFonts w:asciiTheme="minorHAnsi" w:eastAsia="Times New Roman" w:hAnsiTheme="minorHAnsi" w:cs="Arial"/>
          <w:szCs w:val="24"/>
        </w:rPr>
        <w:t>The Government needs to produce a communications plan to advise International Partners how to interpret what TEF 1 means.</w:t>
      </w:r>
      <w:r w:rsidR="00580E5C" w:rsidRPr="00580E5C">
        <w:rPr>
          <w:rFonts w:asciiTheme="minorHAnsi" w:eastAsia="Times New Roman" w:hAnsiTheme="minorHAnsi" w:cs="Arial"/>
          <w:szCs w:val="24"/>
        </w:rPr>
        <w:t xml:space="preserve">  For the sake of the UK’s reputation, it is essential that Level 1 clearly conveys excellence</w:t>
      </w:r>
      <w:r w:rsidR="0063345F">
        <w:rPr>
          <w:rFonts w:asciiTheme="minorHAnsi" w:eastAsia="Times New Roman" w:hAnsiTheme="minorHAnsi" w:cs="Arial"/>
          <w:szCs w:val="24"/>
        </w:rPr>
        <w:t>,</w:t>
      </w:r>
      <w:r w:rsidR="00580E5C" w:rsidRPr="00580E5C">
        <w:rPr>
          <w:rFonts w:asciiTheme="minorHAnsi" w:eastAsia="Times New Roman" w:hAnsiTheme="minorHAnsi" w:cs="Arial"/>
          <w:szCs w:val="24"/>
        </w:rPr>
        <w:t xml:space="preserve"> and that excellence is not only associated with higher TEF levels.</w:t>
      </w:r>
    </w:p>
    <w:p w14:paraId="6DDB2734" w14:textId="77777777" w:rsidR="008429B2" w:rsidRPr="00580E5C" w:rsidRDefault="00343F09" w:rsidP="008429B2">
      <w:pPr>
        <w:spacing w:after="288" w:line="240" w:lineRule="auto"/>
        <w:ind w:left="142"/>
        <w:rPr>
          <w:rFonts w:asciiTheme="minorHAnsi" w:eastAsia="Times New Roman" w:hAnsiTheme="minorHAnsi" w:cs="Arial"/>
          <w:szCs w:val="24"/>
        </w:rPr>
      </w:pPr>
      <w:r w:rsidRPr="00580E5C">
        <w:rPr>
          <w:rFonts w:asciiTheme="minorHAnsi" w:eastAsia="Times New Roman" w:hAnsiTheme="minorHAnsi" w:cs="Arial"/>
          <w:szCs w:val="24"/>
        </w:rPr>
        <w:t>We do not agree that providers which do well within the TEF will attract more student applications, particularly from those from disadvantaged backgrounds, as they will not be able to afford the cost of the raised fee levels. We are not clear how quality assessment proposals feed into ensuring that the ‘lower quality providers’ withdraw from the sector, raising quality overall.</w:t>
      </w:r>
    </w:p>
    <w:p w14:paraId="0B7BF7BF" w14:textId="77777777" w:rsidR="00E458FA" w:rsidRPr="00580E5C" w:rsidRDefault="00083873" w:rsidP="00E458FA">
      <w:pPr>
        <w:tabs>
          <w:tab w:val="left" w:pos="567"/>
        </w:tabs>
        <w:spacing w:after="288" w:line="240" w:lineRule="auto"/>
        <w:ind w:left="142" w:right="11"/>
        <w:rPr>
          <w:rFonts w:asciiTheme="minorHAnsi" w:eastAsia="Times New Roman" w:hAnsiTheme="minorHAnsi" w:cs="Arial"/>
          <w:szCs w:val="24"/>
        </w:rPr>
      </w:pPr>
      <w:r w:rsidRPr="00580E5C">
        <w:rPr>
          <w:rFonts w:asciiTheme="minorHAnsi" w:eastAsia="Times New Roman" w:hAnsiTheme="minorHAnsi" w:cs="Arial"/>
          <w:szCs w:val="24"/>
        </w:rPr>
        <w:t>If, as stated, the TEF is a voluntary activity, then careful consideration must be given to quality assessment, which must be mandatory.</w:t>
      </w:r>
    </w:p>
    <w:p w14:paraId="2DDC059F" w14:textId="77777777" w:rsidR="005164E8" w:rsidRPr="00580E5C" w:rsidRDefault="005164E8" w:rsidP="005164E8">
      <w:pPr>
        <w:tabs>
          <w:tab w:val="left" w:pos="567"/>
        </w:tabs>
        <w:spacing w:after="288" w:line="240" w:lineRule="auto"/>
        <w:ind w:left="142" w:right="11"/>
        <w:rPr>
          <w:rFonts w:asciiTheme="minorHAnsi" w:eastAsia="Times New Roman" w:hAnsiTheme="minorHAnsi" w:cs="Arial"/>
          <w:szCs w:val="24"/>
        </w:rPr>
      </w:pPr>
      <w:r w:rsidRPr="00580E5C">
        <w:rPr>
          <w:rFonts w:asciiTheme="minorHAnsi" w:eastAsia="Times New Roman" w:hAnsiTheme="minorHAnsi" w:cs="Arial"/>
          <w:szCs w:val="24"/>
        </w:rPr>
        <w:t>We note that removal of Student Number Controls (SNCs) altogether is suggested in the Green Paper but we are unclear how this will be applied to all Higher Education providers. The Alternative Providers performance pool is not necessarily an incentive for those Alternative providers who need to restrict numbers on courses because of limited facilities used, e.g. catering, dance.</w:t>
      </w:r>
    </w:p>
    <w:p w14:paraId="6CD0772E" w14:textId="77777777" w:rsidR="005164E8" w:rsidRPr="00580E5C" w:rsidRDefault="005164E8" w:rsidP="00E458FA">
      <w:pPr>
        <w:tabs>
          <w:tab w:val="left" w:pos="567"/>
        </w:tabs>
        <w:spacing w:after="288" w:line="240" w:lineRule="auto"/>
        <w:ind w:left="142" w:right="11"/>
        <w:rPr>
          <w:rFonts w:asciiTheme="minorHAnsi" w:eastAsia="Times New Roman" w:hAnsiTheme="minorHAnsi" w:cs="Arial"/>
          <w:szCs w:val="24"/>
        </w:rPr>
      </w:pPr>
      <w:r w:rsidRPr="00580E5C">
        <w:rPr>
          <w:rFonts w:asciiTheme="minorHAnsi" w:eastAsia="Times New Roman" w:hAnsiTheme="minorHAnsi" w:cs="Arial"/>
          <w:szCs w:val="24"/>
        </w:rPr>
        <w:lastRenderedPageBreak/>
        <w:t xml:space="preserve">We are not sure that the ability to increase fees by inflation is sufficient. </w:t>
      </w:r>
    </w:p>
    <w:p w14:paraId="1479186C" w14:textId="77777777"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 xml:space="preserve">Question 10: Do you agree with the focus on teaching quality, learning environment, student outcomes and learning gain? </w:t>
      </w:r>
    </w:p>
    <w:p w14:paraId="04AAB2B1" w14:textId="77777777" w:rsidR="00E458FA" w:rsidRPr="00E458FA" w:rsidRDefault="00E458FA" w:rsidP="00E458FA">
      <w:pPr>
        <w:tabs>
          <w:tab w:val="left" w:pos="567"/>
        </w:tabs>
        <w:spacing w:after="288" w:line="240" w:lineRule="auto"/>
        <w:ind w:left="142"/>
        <w:rPr>
          <w:rFonts w:eastAsia="Times New Roman" w:cs="Times New Roman"/>
          <w:szCs w:val="24"/>
        </w:rPr>
      </w:pPr>
      <w:r w:rsidRPr="00E458FA">
        <w:rPr>
          <w:rFonts w:eastAsia="Times New Roman" w:cs="Times New Roman"/>
          <w:szCs w:val="24"/>
        </w:rPr>
        <w:t xml:space="preserve">        </w:t>
      </w:r>
      <w:sdt>
        <w:sdtPr>
          <w:rPr>
            <w:rFonts w:eastAsia="Times New Roman" w:cs="Times New Roman"/>
            <w:szCs w:val="24"/>
          </w:rPr>
          <w:id w:val="548266895"/>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Yes</w:t>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1177536797"/>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1258367697"/>
        </w:sdtPr>
        <w:sdtEndPr/>
        <w:sdtContent>
          <w:r w:rsidR="00DA5946">
            <w:rPr>
              <w:rFonts w:ascii="MS Gothic" w:eastAsia="MS Gothic" w:hAnsi="MS Gothic" w:cs="Times New Roman" w:hint="eastAsia"/>
              <w:szCs w:val="24"/>
            </w:rPr>
            <w:t>☒</w:t>
          </w:r>
        </w:sdtContent>
      </w:sdt>
      <w:r w:rsidRPr="00E458FA">
        <w:rPr>
          <w:rFonts w:eastAsia="Times New Roman" w:cs="Times New Roman"/>
          <w:szCs w:val="24"/>
        </w:rPr>
        <w:t xml:space="preserve"> </w:t>
      </w:r>
      <w:proofErr w:type="gramStart"/>
      <w:r w:rsidRPr="00E458FA">
        <w:rPr>
          <w:rFonts w:eastAsia="Times New Roman" w:cs="Times New Roman"/>
          <w:szCs w:val="24"/>
        </w:rPr>
        <w:t>Not</w:t>
      </w:r>
      <w:proofErr w:type="gramEnd"/>
      <w:r w:rsidRPr="00E458FA">
        <w:rPr>
          <w:rFonts w:eastAsia="Times New Roman" w:cs="Times New Roman"/>
          <w:szCs w:val="24"/>
        </w:rPr>
        <w:t xml:space="preserve"> sure</w:t>
      </w:r>
    </w:p>
    <w:p w14:paraId="2395E068" w14:textId="77777777"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Please give reasons for your answer.</w:t>
      </w:r>
    </w:p>
    <w:p w14:paraId="47CEC0C9" w14:textId="77777777" w:rsidR="00D617B3" w:rsidRPr="004503B0" w:rsidRDefault="009779DD" w:rsidP="003F25C9">
      <w:pPr>
        <w:spacing w:after="288" w:line="240" w:lineRule="auto"/>
        <w:ind w:left="142"/>
        <w:rPr>
          <w:rFonts w:asciiTheme="minorHAnsi" w:eastAsia="Times New Roman" w:hAnsiTheme="minorHAnsi" w:cstheme="minorHAnsi"/>
          <w:szCs w:val="24"/>
        </w:rPr>
      </w:pPr>
      <w:r w:rsidRPr="004503B0">
        <w:rPr>
          <w:rFonts w:asciiTheme="minorHAnsi" w:eastAsia="Times New Roman" w:hAnsiTheme="minorHAnsi" w:cstheme="minorHAnsi"/>
          <w:szCs w:val="24"/>
        </w:rPr>
        <w:t>A</w:t>
      </w:r>
      <w:r w:rsidR="003F25C9" w:rsidRPr="004503B0">
        <w:rPr>
          <w:rFonts w:asciiTheme="minorHAnsi" w:eastAsia="Times New Roman" w:hAnsiTheme="minorHAnsi" w:cstheme="minorHAnsi"/>
          <w:szCs w:val="24"/>
        </w:rPr>
        <w:t xml:space="preserve">gain, this is difficult to answer without an agreement of what teaching excellence is. Is it about teaching or learning? </w:t>
      </w:r>
      <w:proofErr w:type="gramStart"/>
      <w:r w:rsidR="003F25C9" w:rsidRPr="004503B0">
        <w:rPr>
          <w:rFonts w:asciiTheme="minorHAnsi" w:eastAsia="Times New Roman" w:hAnsiTheme="minorHAnsi" w:cstheme="minorHAnsi"/>
          <w:szCs w:val="24"/>
        </w:rPr>
        <w:t>Or both?</w:t>
      </w:r>
      <w:proofErr w:type="gramEnd"/>
      <w:r w:rsidR="003F25C9" w:rsidRPr="004503B0">
        <w:rPr>
          <w:rFonts w:asciiTheme="minorHAnsi" w:eastAsia="Times New Roman" w:hAnsiTheme="minorHAnsi" w:cstheme="minorHAnsi"/>
          <w:szCs w:val="24"/>
        </w:rPr>
        <w:t xml:space="preserve"> </w:t>
      </w:r>
      <w:r w:rsidR="00D617B3" w:rsidRPr="004503B0">
        <w:rPr>
          <w:rFonts w:asciiTheme="minorHAnsi" w:eastAsia="Times New Roman" w:hAnsiTheme="minorHAnsi" w:cstheme="minorHAnsi"/>
          <w:szCs w:val="24"/>
        </w:rPr>
        <w:t xml:space="preserve">– </w:t>
      </w:r>
    </w:p>
    <w:p w14:paraId="61C6B20A" w14:textId="77777777" w:rsidR="003F25C9" w:rsidRPr="004503B0" w:rsidRDefault="003F25C9" w:rsidP="003F25C9">
      <w:pPr>
        <w:spacing w:after="288" w:line="240" w:lineRule="auto"/>
        <w:ind w:left="142"/>
        <w:rPr>
          <w:rFonts w:asciiTheme="minorHAnsi" w:eastAsia="Times New Roman" w:hAnsiTheme="minorHAnsi" w:cstheme="minorHAnsi"/>
          <w:szCs w:val="24"/>
        </w:rPr>
      </w:pPr>
      <w:r w:rsidRPr="004503B0">
        <w:rPr>
          <w:rFonts w:asciiTheme="minorHAnsi" w:eastAsia="Times New Roman" w:hAnsiTheme="minorHAnsi" w:cstheme="minorHAnsi"/>
          <w:szCs w:val="24"/>
        </w:rPr>
        <w:t>If it is about teaching, then is it about the quality of what is delivered or the way in which it is delivered or both? Will it simply reinforce standards of teaching or actually promote teaching excellence?</w:t>
      </w:r>
    </w:p>
    <w:p w14:paraId="1EA90D5D" w14:textId="77777777" w:rsidR="003F25C9" w:rsidRPr="004503B0" w:rsidRDefault="003F25C9" w:rsidP="003F25C9">
      <w:pPr>
        <w:spacing w:after="288" w:line="240" w:lineRule="auto"/>
        <w:ind w:left="142"/>
        <w:rPr>
          <w:rFonts w:asciiTheme="minorHAnsi" w:eastAsia="Times New Roman" w:hAnsiTheme="minorHAnsi" w:cstheme="minorHAnsi"/>
          <w:szCs w:val="24"/>
        </w:rPr>
      </w:pPr>
      <w:r w:rsidRPr="004503B0">
        <w:rPr>
          <w:rFonts w:asciiTheme="minorHAnsi" w:eastAsia="Times New Roman" w:hAnsiTheme="minorHAnsi" w:cstheme="minorHAnsi"/>
          <w:szCs w:val="24"/>
        </w:rPr>
        <w:t xml:space="preserve">If it is about learning, then how do we measure the quality of the learning resulting from teaching? Excellent teaching does not necessarily equate to excellent learning – how do we observe the process of learning in order to measure excellence, or student engagement with their learning? Should we be evaluating teaching in terms of learning? </w:t>
      </w:r>
    </w:p>
    <w:p w14:paraId="5672798F" w14:textId="77777777" w:rsidR="003F25C9" w:rsidRPr="004503B0" w:rsidRDefault="003F25C9" w:rsidP="003F25C9">
      <w:pPr>
        <w:spacing w:after="288" w:line="240" w:lineRule="auto"/>
        <w:ind w:left="142"/>
        <w:rPr>
          <w:rFonts w:asciiTheme="minorHAnsi" w:eastAsia="Times New Roman" w:hAnsiTheme="minorHAnsi" w:cstheme="minorHAnsi"/>
          <w:szCs w:val="24"/>
        </w:rPr>
      </w:pPr>
      <w:r w:rsidRPr="004503B0">
        <w:rPr>
          <w:rFonts w:asciiTheme="minorHAnsi" w:eastAsia="Times New Roman" w:hAnsiTheme="minorHAnsi" w:cstheme="minorHAnsi"/>
          <w:szCs w:val="24"/>
        </w:rPr>
        <w:t>Proposals for the TEF are very heavily weighted in favour of outcomes-based metrics without consideration of inputs (</w:t>
      </w:r>
      <w:r w:rsidR="0063345F">
        <w:rPr>
          <w:rFonts w:asciiTheme="minorHAnsi" w:eastAsia="Times New Roman" w:hAnsiTheme="minorHAnsi" w:cstheme="minorHAnsi"/>
          <w:szCs w:val="24"/>
        </w:rPr>
        <w:t>albeit</w:t>
      </w:r>
      <w:r w:rsidRPr="004503B0">
        <w:rPr>
          <w:rFonts w:asciiTheme="minorHAnsi" w:eastAsia="Times New Roman" w:hAnsiTheme="minorHAnsi" w:cstheme="minorHAnsi"/>
          <w:szCs w:val="24"/>
        </w:rPr>
        <w:t xml:space="preserve"> there may be opportunity </w:t>
      </w:r>
      <w:r w:rsidR="00D617B3" w:rsidRPr="004503B0">
        <w:rPr>
          <w:rFonts w:asciiTheme="minorHAnsi" w:eastAsia="Times New Roman" w:hAnsiTheme="minorHAnsi" w:cstheme="minorHAnsi"/>
          <w:szCs w:val="24"/>
        </w:rPr>
        <w:t xml:space="preserve">to </w:t>
      </w:r>
      <w:r w:rsidRPr="004503B0">
        <w:rPr>
          <w:rFonts w:asciiTheme="minorHAnsi" w:eastAsia="Times New Roman" w:hAnsiTheme="minorHAnsi" w:cstheme="minorHAnsi"/>
          <w:szCs w:val="24"/>
        </w:rPr>
        <w:t xml:space="preserve">espouse such within the institutional context </w:t>
      </w:r>
      <w:r w:rsidR="0063345F">
        <w:rPr>
          <w:rFonts w:asciiTheme="minorHAnsi" w:eastAsia="Times New Roman" w:hAnsiTheme="minorHAnsi" w:cstheme="minorHAnsi"/>
          <w:szCs w:val="24"/>
        </w:rPr>
        <w:t xml:space="preserve">through </w:t>
      </w:r>
      <w:r w:rsidRPr="004503B0">
        <w:rPr>
          <w:rFonts w:asciiTheme="minorHAnsi" w:eastAsia="Times New Roman" w:hAnsiTheme="minorHAnsi" w:cstheme="minorHAnsi"/>
          <w:szCs w:val="24"/>
        </w:rPr>
        <w:t>the additional provider evidence</w:t>
      </w:r>
      <w:r w:rsidR="0063345F">
        <w:rPr>
          <w:rFonts w:asciiTheme="minorHAnsi" w:eastAsia="Times New Roman" w:hAnsiTheme="minorHAnsi" w:cstheme="minorHAnsi"/>
          <w:szCs w:val="24"/>
        </w:rPr>
        <w:t>, which we would endorse</w:t>
      </w:r>
      <w:r w:rsidRPr="004503B0">
        <w:rPr>
          <w:rFonts w:asciiTheme="minorHAnsi" w:eastAsia="Times New Roman" w:hAnsiTheme="minorHAnsi" w:cstheme="minorHAnsi"/>
          <w:szCs w:val="24"/>
        </w:rPr>
        <w:t xml:space="preserve">). A focus on outcomes takes away from the process (and too heavy a focus takes away from the inputs). Evidence for the TEF needs to be </w:t>
      </w:r>
      <w:r w:rsidR="0063345F">
        <w:rPr>
          <w:rFonts w:asciiTheme="minorHAnsi" w:eastAsia="Times New Roman" w:hAnsiTheme="minorHAnsi" w:cstheme="minorHAnsi"/>
          <w:szCs w:val="24"/>
        </w:rPr>
        <w:t xml:space="preserve">more </w:t>
      </w:r>
      <w:r w:rsidRPr="004503B0">
        <w:rPr>
          <w:rFonts w:asciiTheme="minorHAnsi" w:eastAsia="Times New Roman" w:hAnsiTheme="minorHAnsi" w:cstheme="minorHAnsi"/>
          <w:szCs w:val="24"/>
        </w:rPr>
        <w:t>‘rounded’ than is currently proposed.</w:t>
      </w:r>
    </w:p>
    <w:p w14:paraId="00AE3573" w14:textId="77777777" w:rsidR="004503B0" w:rsidRPr="004503B0" w:rsidRDefault="0025579B" w:rsidP="00D617B3">
      <w:pPr>
        <w:spacing w:after="288" w:line="240" w:lineRule="auto"/>
        <w:ind w:left="142"/>
        <w:rPr>
          <w:rFonts w:asciiTheme="minorHAnsi" w:eastAsia="Times New Roman" w:hAnsiTheme="minorHAnsi" w:cstheme="minorHAnsi"/>
          <w:szCs w:val="24"/>
        </w:rPr>
      </w:pPr>
      <w:r w:rsidRPr="004503B0">
        <w:rPr>
          <w:rFonts w:asciiTheme="minorHAnsi" w:eastAsia="Times New Roman" w:hAnsiTheme="minorHAnsi" w:cstheme="minorHAnsi"/>
          <w:szCs w:val="24"/>
        </w:rPr>
        <w:t xml:space="preserve">Whilst we agree that a focus on teaching quality, the learning environment, student outcomes and learning gain is a helpful starting point, we are not clear on how such will be measured. </w:t>
      </w:r>
      <w:r w:rsidR="00D35A8E" w:rsidRPr="004503B0">
        <w:rPr>
          <w:rFonts w:asciiTheme="minorHAnsi" w:eastAsia="Times New Roman" w:hAnsiTheme="minorHAnsi" w:cstheme="minorHAnsi"/>
          <w:szCs w:val="24"/>
        </w:rPr>
        <w:t>The metrics proposed do not measure teaching quality</w:t>
      </w:r>
      <w:r w:rsidR="00D617B3" w:rsidRPr="004503B0">
        <w:rPr>
          <w:rFonts w:asciiTheme="minorHAnsi" w:eastAsia="Times New Roman" w:hAnsiTheme="minorHAnsi" w:cstheme="minorHAnsi"/>
          <w:szCs w:val="24"/>
        </w:rPr>
        <w:t xml:space="preserve">.  </w:t>
      </w:r>
    </w:p>
    <w:p w14:paraId="36452FBB" w14:textId="77777777" w:rsidR="004503B0" w:rsidRPr="004503B0" w:rsidRDefault="00D617B3" w:rsidP="009779DD">
      <w:pPr>
        <w:spacing w:after="288" w:line="240" w:lineRule="auto"/>
        <w:ind w:left="142"/>
        <w:rPr>
          <w:rFonts w:asciiTheme="minorHAnsi" w:eastAsia="Times New Roman" w:hAnsiTheme="minorHAnsi" w:cstheme="minorHAnsi"/>
          <w:szCs w:val="24"/>
        </w:rPr>
      </w:pPr>
      <w:r w:rsidRPr="004503B0">
        <w:rPr>
          <w:rFonts w:asciiTheme="minorHAnsi" w:eastAsia="Times New Roman" w:hAnsiTheme="minorHAnsi" w:cstheme="minorHAnsi"/>
          <w:szCs w:val="24"/>
        </w:rPr>
        <w:t xml:space="preserve">We feel it is important to consider the learning environment, and it is not clear how proposals might support this. </w:t>
      </w:r>
    </w:p>
    <w:p w14:paraId="1744E032" w14:textId="77777777" w:rsidR="009779DD" w:rsidRPr="004503B0" w:rsidRDefault="0025579B" w:rsidP="009779DD">
      <w:pPr>
        <w:spacing w:after="288" w:line="240" w:lineRule="auto"/>
        <w:ind w:left="142"/>
        <w:rPr>
          <w:rFonts w:asciiTheme="minorHAnsi" w:eastAsia="Times New Roman" w:hAnsiTheme="minorHAnsi" w:cstheme="minorHAnsi"/>
          <w:szCs w:val="24"/>
        </w:rPr>
      </w:pPr>
      <w:r w:rsidRPr="004503B0">
        <w:rPr>
          <w:rFonts w:asciiTheme="minorHAnsi" w:eastAsia="Times New Roman" w:hAnsiTheme="minorHAnsi" w:cstheme="minorHAnsi"/>
          <w:szCs w:val="24"/>
        </w:rPr>
        <w:t xml:space="preserve">A focus on the learning environment, on outcomes and on learning gain is useful in avoiding a possible ‘reductionist’ approach to the experience of students and it may be more sensible to describe the TEF as a framework for learning and for teaching, rather than just </w:t>
      </w:r>
      <w:r w:rsidR="00D41B10" w:rsidRPr="004503B0">
        <w:rPr>
          <w:rFonts w:asciiTheme="minorHAnsi" w:eastAsia="Times New Roman" w:hAnsiTheme="minorHAnsi" w:cstheme="minorHAnsi"/>
          <w:szCs w:val="24"/>
        </w:rPr>
        <w:t xml:space="preserve">for </w:t>
      </w:r>
      <w:r w:rsidRPr="004503B0">
        <w:rPr>
          <w:rFonts w:asciiTheme="minorHAnsi" w:eastAsia="Times New Roman" w:hAnsiTheme="minorHAnsi" w:cstheme="minorHAnsi"/>
          <w:szCs w:val="24"/>
        </w:rPr>
        <w:t>teaching.</w:t>
      </w:r>
      <w:r w:rsidR="009779DD" w:rsidRPr="004503B0">
        <w:rPr>
          <w:rFonts w:asciiTheme="minorHAnsi" w:eastAsia="Times New Roman" w:hAnsiTheme="minorHAnsi" w:cstheme="minorHAnsi"/>
          <w:szCs w:val="24"/>
        </w:rPr>
        <w:t xml:space="preserve"> Emphasis should also be equally focused on strategies for promoting student engagement and strategies for staff development.</w:t>
      </w:r>
    </w:p>
    <w:p w14:paraId="48599323" w14:textId="77777777" w:rsidR="009779DD" w:rsidRPr="004503B0" w:rsidRDefault="004503B0" w:rsidP="004503B0">
      <w:pPr>
        <w:tabs>
          <w:tab w:val="left" w:pos="567"/>
        </w:tabs>
        <w:spacing w:after="288" w:line="240" w:lineRule="auto"/>
        <w:ind w:left="142" w:right="11"/>
        <w:rPr>
          <w:rFonts w:asciiTheme="minorHAnsi" w:eastAsia="Times New Roman" w:hAnsiTheme="minorHAnsi" w:cstheme="minorHAnsi"/>
          <w:szCs w:val="24"/>
        </w:rPr>
      </w:pPr>
      <w:r w:rsidRPr="004503B0">
        <w:rPr>
          <w:rFonts w:asciiTheme="minorHAnsi" w:eastAsia="Times New Roman" w:hAnsiTheme="minorHAnsi" w:cstheme="minorHAnsi"/>
          <w:szCs w:val="24"/>
        </w:rPr>
        <w:t>In this regard, the assessment of learning gain will be particularly crucial: e.g., an institution admitting students with high tariff qualifications must not be disadvantaged because learning gain may be difficult to demonstrate in traditional classification outcomes.  Consideration of context here is crucial; t</w:t>
      </w:r>
      <w:r w:rsidR="009779DD" w:rsidRPr="004503B0">
        <w:rPr>
          <w:rFonts w:asciiTheme="minorHAnsi" w:eastAsia="Times New Roman" w:hAnsiTheme="minorHAnsi" w:cstheme="minorHAnsi"/>
          <w:szCs w:val="24"/>
        </w:rPr>
        <w:t>h</w:t>
      </w:r>
      <w:r w:rsidRPr="004503B0">
        <w:rPr>
          <w:rFonts w:asciiTheme="minorHAnsi" w:eastAsia="Times New Roman" w:hAnsiTheme="minorHAnsi" w:cstheme="minorHAnsi"/>
          <w:szCs w:val="24"/>
        </w:rPr>
        <w:t>e</w:t>
      </w:r>
      <w:r w:rsidR="009779DD" w:rsidRPr="004503B0">
        <w:rPr>
          <w:rFonts w:asciiTheme="minorHAnsi" w:eastAsia="Times New Roman" w:hAnsiTheme="minorHAnsi" w:cstheme="minorHAnsi"/>
          <w:szCs w:val="24"/>
        </w:rPr>
        <w:t xml:space="preserve"> approach needs to be more nuanced.</w:t>
      </w:r>
    </w:p>
    <w:p w14:paraId="2F6E8FAA" w14:textId="77777777" w:rsidR="00773325" w:rsidRPr="00773325" w:rsidRDefault="00773325" w:rsidP="006F2F84">
      <w:pPr>
        <w:spacing w:after="288" w:line="240" w:lineRule="auto"/>
        <w:ind w:left="142"/>
        <w:rPr>
          <w:rFonts w:asciiTheme="minorHAnsi" w:eastAsia="Times New Roman" w:hAnsiTheme="minorHAnsi" w:cstheme="minorHAnsi"/>
          <w:szCs w:val="24"/>
        </w:rPr>
      </w:pPr>
      <w:r w:rsidRPr="00773325">
        <w:rPr>
          <w:rFonts w:asciiTheme="minorHAnsi" w:eastAsia="Times New Roman" w:hAnsiTheme="minorHAnsi" w:cstheme="minorHAnsi"/>
          <w:szCs w:val="24"/>
        </w:rPr>
        <w:lastRenderedPageBreak/>
        <w:t xml:space="preserve">We welcome the recognition in this section of the Green Paper of the benefits of research for teaching; it is regrettable that in other respects the Paper establishes what we consider to be a false opposition between the twin academic activities. </w:t>
      </w:r>
    </w:p>
    <w:p w14:paraId="3F8A4074" w14:textId="77777777" w:rsidR="00D41B10" w:rsidRPr="004503B0" w:rsidRDefault="00D41B10" w:rsidP="006F2F84">
      <w:pPr>
        <w:spacing w:after="288" w:line="240" w:lineRule="auto"/>
        <w:ind w:left="142"/>
        <w:rPr>
          <w:rFonts w:asciiTheme="minorHAnsi" w:eastAsia="Times New Roman" w:hAnsiTheme="minorHAnsi" w:cstheme="minorHAnsi"/>
          <w:szCs w:val="24"/>
        </w:rPr>
      </w:pPr>
      <w:r w:rsidRPr="004503B0">
        <w:rPr>
          <w:rFonts w:asciiTheme="minorHAnsi" w:eastAsia="Times New Roman" w:hAnsiTheme="minorHAnsi" w:cstheme="minorHAnsi"/>
          <w:szCs w:val="24"/>
        </w:rPr>
        <w:t>We agree that it would be helpful to consider the design and organisation of curriculum content and module learning activities (evidenced by student learning outcomes and peer review). Supporting, promoting and enhancing student learning might be evidenced by</w:t>
      </w:r>
      <w:r w:rsidR="00B03BE9">
        <w:rPr>
          <w:rFonts w:asciiTheme="minorHAnsi" w:eastAsia="Times New Roman" w:hAnsiTheme="minorHAnsi" w:cstheme="minorHAnsi"/>
          <w:szCs w:val="24"/>
        </w:rPr>
        <w:t>:</w:t>
      </w:r>
      <w:r w:rsidRPr="004503B0">
        <w:rPr>
          <w:rFonts w:asciiTheme="minorHAnsi" w:eastAsia="Times New Roman" w:hAnsiTheme="minorHAnsi" w:cstheme="minorHAnsi"/>
          <w:szCs w:val="24"/>
        </w:rPr>
        <w:t xml:space="preserve"> the NSS/student feedback; diversity in student learning measured by peers; and case studies of innovative practices). Assessment and feedback might be evidenced by external examiner reports and student achievement. An effective learning environment might be evidenced by quality assessment reports, examiner reports, peer review, or reports from PSRBs; effective communication and the inspiring of students might be measured through the NSS; the encouragement of higher order thinking and independent thinking might be measured by external examiner reports. Scholarship and professional activities in relation to pedagogy could be evidenced by teaching qualifications; membership of HEA; evidenced contributions to the development of pedagogy </w:t>
      </w:r>
      <w:r w:rsidR="00B03BE9">
        <w:rPr>
          <w:rFonts w:asciiTheme="minorHAnsi" w:eastAsia="Times New Roman" w:hAnsiTheme="minorHAnsi" w:cstheme="minorHAnsi"/>
          <w:szCs w:val="24"/>
        </w:rPr>
        <w:t>(</w:t>
      </w:r>
      <w:r w:rsidRPr="004503B0">
        <w:rPr>
          <w:rFonts w:asciiTheme="minorHAnsi" w:eastAsia="Times New Roman" w:hAnsiTheme="minorHAnsi" w:cstheme="minorHAnsi"/>
          <w:szCs w:val="24"/>
        </w:rPr>
        <w:t>i</w:t>
      </w:r>
      <w:r w:rsidR="00B03BE9">
        <w:rPr>
          <w:rFonts w:asciiTheme="minorHAnsi" w:eastAsia="Times New Roman" w:hAnsiTheme="minorHAnsi" w:cstheme="minorHAnsi"/>
          <w:szCs w:val="24"/>
        </w:rPr>
        <w:t>.</w:t>
      </w:r>
      <w:r w:rsidRPr="004503B0">
        <w:rPr>
          <w:rFonts w:asciiTheme="minorHAnsi" w:eastAsia="Times New Roman" w:hAnsiTheme="minorHAnsi" w:cstheme="minorHAnsi"/>
          <w:szCs w:val="24"/>
        </w:rPr>
        <w:t>e</w:t>
      </w:r>
      <w:r w:rsidR="00B03BE9">
        <w:rPr>
          <w:rFonts w:asciiTheme="minorHAnsi" w:eastAsia="Times New Roman" w:hAnsiTheme="minorHAnsi" w:cstheme="minorHAnsi"/>
          <w:szCs w:val="24"/>
        </w:rPr>
        <w:t xml:space="preserve">., </w:t>
      </w:r>
      <w:r w:rsidRPr="004503B0">
        <w:rPr>
          <w:rFonts w:asciiTheme="minorHAnsi" w:eastAsia="Times New Roman" w:hAnsiTheme="minorHAnsi" w:cstheme="minorHAnsi"/>
          <w:szCs w:val="24"/>
        </w:rPr>
        <w:t>journals, conferences). The evaluation of practice and a commitment to teaching excellence, and engaging in continued development of teaching skills should also be considered.</w:t>
      </w:r>
    </w:p>
    <w:p w14:paraId="35D777DC" w14:textId="77777777" w:rsidR="009779DD" w:rsidRPr="004503B0" w:rsidRDefault="009779DD" w:rsidP="009779DD">
      <w:pPr>
        <w:spacing w:after="288" w:line="240" w:lineRule="auto"/>
        <w:ind w:left="142"/>
        <w:rPr>
          <w:rFonts w:asciiTheme="minorHAnsi" w:eastAsia="Times New Roman" w:hAnsiTheme="minorHAnsi" w:cstheme="minorHAnsi"/>
          <w:szCs w:val="24"/>
        </w:rPr>
      </w:pPr>
      <w:r w:rsidRPr="004503B0">
        <w:rPr>
          <w:rFonts w:asciiTheme="minorHAnsi" w:eastAsia="Times New Roman" w:hAnsiTheme="minorHAnsi" w:cstheme="minorHAnsi"/>
          <w:szCs w:val="24"/>
        </w:rPr>
        <w:t>We are unclear as to how an assessment of the use of the UK HE Quality Code and Subject Benchmarks will be undertaken. Will this be part of the Quality Assessment Regime or part of the TEF assessment panel evidence?</w:t>
      </w:r>
    </w:p>
    <w:p w14:paraId="261E04F8" w14:textId="77777777"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 xml:space="preserve">Question 11: Do you agree with the proposed approach to the evidence used to make TEF assessments - common metrics derived from the national databases supported by evidence from the provider? </w:t>
      </w:r>
    </w:p>
    <w:p w14:paraId="68B173F6" w14:textId="77777777" w:rsidR="00E458FA" w:rsidRPr="00E458FA" w:rsidRDefault="00E458FA" w:rsidP="00E458FA">
      <w:pPr>
        <w:tabs>
          <w:tab w:val="left" w:pos="567"/>
        </w:tabs>
        <w:spacing w:after="288" w:line="240" w:lineRule="auto"/>
        <w:ind w:left="142"/>
        <w:rPr>
          <w:rFonts w:eastAsia="Times New Roman" w:cs="Times New Roman"/>
          <w:szCs w:val="24"/>
        </w:rPr>
      </w:pPr>
      <w:r w:rsidRPr="00E458FA">
        <w:rPr>
          <w:rFonts w:eastAsia="Times New Roman" w:cs="Times New Roman"/>
          <w:szCs w:val="24"/>
        </w:rPr>
        <w:t xml:space="preserve">        </w:t>
      </w:r>
      <w:sdt>
        <w:sdtPr>
          <w:rPr>
            <w:rFonts w:eastAsia="Times New Roman" w:cs="Times New Roman"/>
            <w:szCs w:val="24"/>
          </w:rPr>
          <w:id w:val="476036851"/>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Yes</w:t>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532805076"/>
        </w:sdtPr>
        <w:sdtEndPr/>
        <w:sdtContent>
          <w:r w:rsidR="00DA5946">
            <w:rPr>
              <w:rFonts w:ascii="MS Gothic" w:eastAsia="MS Gothic" w:hAnsi="MS Gothic" w:cs="Times New Roman" w:hint="eastAsia"/>
              <w:szCs w:val="24"/>
            </w:rPr>
            <w:t>☒</w:t>
          </w:r>
        </w:sdtContent>
      </w:sdt>
      <w:r w:rsidRPr="00E458FA">
        <w:rPr>
          <w:rFonts w:eastAsia="Times New Roman" w:cs="Times New Roman"/>
          <w:szCs w:val="24"/>
        </w:rPr>
        <w:t xml:space="preserve"> 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1971814916"/>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w:t>
      </w:r>
      <w:proofErr w:type="gramStart"/>
      <w:r w:rsidRPr="00E458FA">
        <w:rPr>
          <w:rFonts w:eastAsia="Times New Roman" w:cs="Times New Roman"/>
          <w:szCs w:val="24"/>
        </w:rPr>
        <w:t>Not</w:t>
      </w:r>
      <w:proofErr w:type="gramEnd"/>
      <w:r w:rsidRPr="00E458FA">
        <w:rPr>
          <w:rFonts w:eastAsia="Times New Roman" w:cs="Times New Roman"/>
          <w:szCs w:val="24"/>
        </w:rPr>
        <w:t xml:space="preserve"> sure</w:t>
      </w:r>
    </w:p>
    <w:p w14:paraId="7ABA8459" w14:textId="77777777"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Please give reasons for your answer.</w:t>
      </w:r>
    </w:p>
    <w:p w14:paraId="60743E52" w14:textId="77777777" w:rsidR="00AF63C3" w:rsidRPr="00605897" w:rsidRDefault="007F36BF" w:rsidP="00AF63C3">
      <w:pPr>
        <w:spacing w:after="288" w:line="240" w:lineRule="auto"/>
        <w:ind w:left="142"/>
        <w:rPr>
          <w:rFonts w:asciiTheme="minorHAnsi" w:eastAsia="Times New Roman" w:hAnsiTheme="minorHAnsi" w:cstheme="minorHAnsi"/>
          <w:szCs w:val="24"/>
        </w:rPr>
      </w:pPr>
      <w:r w:rsidRPr="00605897">
        <w:rPr>
          <w:rFonts w:asciiTheme="minorHAnsi" w:eastAsia="Times New Roman" w:hAnsiTheme="minorHAnsi" w:cstheme="minorHAnsi"/>
          <w:szCs w:val="24"/>
        </w:rPr>
        <w:t>The proposed datasets are not about teaching quality; for example, contact time does not have a straightforward correlation with teaching excellence.</w:t>
      </w:r>
      <w:r w:rsidR="00AF63C3" w:rsidRPr="00605897">
        <w:rPr>
          <w:rFonts w:asciiTheme="minorHAnsi" w:eastAsia="Times New Roman" w:hAnsiTheme="minorHAnsi" w:cstheme="minorHAnsi"/>
          <w:szCs w:val="24"/>
        </w:rPr>
        <w:t xml:space="preserve">  One of the key intentions of learning in HE is that it develops students as self-directed learners – and the more so as a student progresses through his or her studies.  A key point here is that this is an essential skill in the workplace.</w:t>
      </w:r>
    </w:p>
    <w:p w14:paraId="6687B085" w14:textId="77777777" w:rsidR="00BA0CBA" w:rsidRPr="00605897" w:rsidRDefault="00BA0CBA" w:rsidP="009A4CAD">
      <w:pPr>
        <w:pStyle w:val="CommentText"/>
        <w:ind w:left="172"/>
        <w:rPr>
          <w:rFonts w:asciiTheme="minorHAnsi" w:eastAsia="Times New Roman" w:hAnsiTheme="minorHAnsi" w:cstheme="minorHAnsi"/>
          <w:sz w:val="24"/>
          <w:szCs w:val="24"/>
        </w:rPr>
      </w:pPr>
      <w:r w:rsidRPr="00605897">
        <w:rPr>
          <w:rFonts w:asciiTheme="minorHAnsi" w:eastAsia="Times New Roman" w:hAnsiTheme="minorHAnsi" w:cstheme="minorHAnsi"/>
          <w:sz w:val="24"/>
          <w:szCs w:val="24"/>
        </w:rPr>
        <w:t xml:space="preserve">HEFCE’s proposals for the future of QA would not appear sufficient to be the basis for level 1 TEF award as </w:t>
      </w:r>
      <w:r w:rsidR="009A4CAD" w:rsidRPr="00605897">
        <w:rPr>
          <w:rFonts w:asciiTheme="minorHAnsi" w:eastAsia="Times New Roman" w:hAnsiTheme="minorHAnsi" w:cstheme="minorHAnsi"/>
          <w:sz w:val="24"/>
          <w:szCs w:val="24"/>
        </w:rPr>
        <w:t xml:space="preserve">this </w:t>
      </w:r>
      <w:r w:rsidRPr="00605897">
        <w:rPr>
          <w:rFonts w:asciiTheme="minorHAnsi" w:eastAsia="Times New Roman" w:hAnsiTheme="minorHAnsi" w:cstheme="minorHAnsi"/>
          <w:sz w:val="24"/>
          <w:szCs w:val="24"/>
        </w:rPr>
        <w:t>relies on boards of governors to provide assurance of quality rather than any external assessment beyond consideration of metrics</w:t>
      </w:r>
    </w:p>
    <w:p w14:paraId="7E8BCB42" w14:textId="77777777" w:rsidR="00D35A8E" w:rsidRPr="00605897" w:rsidRDefault="00BA0CBA" w:rsidP="00D35A8E">
      <w:pPr>
        <w:pStyle w:val="CommentText"/>
        <w:ind w:left="142"/>
        <w:rPr>
          <w:rFonts w:asciiTheme="minorHAnsi" w:eastAsia="Times New Roman" w:hAnsiTheme="minorHAnsi" w:cstheme="minorHAnsi"/>
          <w:sz w:val="24"/>
          <w:szCs w:val="24"/>
        </w:rPr>
      </w:pPr>
      <w:r w:rsidRPr="00605897">
        <w:rPr>
          <w:rFonts w:asciiTheme="minorHAnsi" w:eastAsia="Times New Roman" w:hAnsiTheme="minorHAnsi" w:cstheme="minorHAnsi"/>
          <w:sz w:val="24"/>
          <w:szCs w:val="24"/>
        </w:rPr>
        <w:t xml:space="preserve">Too much emphasis on </w:t>
      </w:r>
      <w:r w:rsidR="009A4CAD" w:rsidRPr="00605897">
        <w:rPr>
          <w:rFonts w:asciiTheme="minorHAnsi" w:eastAsia="Times New Roman" w:hAnsiTheme="minorHAnsi" w:cstheme="minorHAnsi"/>
          <w:sz w:val="24"/>
          <w:szCs w:val="24"/>
        </w:rPr>
        <w:t xml:space="preserve">metrics may stifle innovation and </w:t>
      </w:r>
      <w:r w:rsidRPr="00605897">
        <w:rPr>
          <w:rFonts w:asciiTheme="minorHAnsi" w:eastAsia="Times New Roman" w:hAnsiTheme="minorHAnsi" w:cstheme="minorHAnsi"/>
          <w:sz w:val="24"/>
          <w:szCs w:val="24"/>
        </w:rPr>
        <w:t xml:space="preserve">may lead to </w:t>
      </w:r>
      <w:r w:rsidR="009A4CAD" w:rsidRPr="00605897">
        <w:rPr>
          <w:rFonts w:asciiTheme="minorHAnsi" w:eastAsia="Times New Roman" w:hAnsiTheme="minorHAnsi" w:cstheme="minorHAnsi"/>
          <w:sz w:val="24"/>
          <w:szCs w:val="24"/>
        </w:rPr>
        <w:t>reluctance</w:t>
      </w:r>
      <w:r w:rsidRPr="00605897">
        <w:rPr>
          <w:rFonts w:asciiTheme="minorHAnsi" w:eastAsia="Times New Roman" w:hAnsiTheme="minorHAnsi" w:cstheme="minorHAnsi"/>
          <w:sz w:val="24"/>
          <w:szCs w:val="24"/>
        </w:rPr>
        <w:t xml:space="preserve"> to take risks that could impact on the particular metrics available</w:t>
      </w:r>
      <w:r w:rsidR="009A4CAD" w:rsidRPr="00605897">
        <w:rPr>
          <w:rFonts w:asciiTheme="minorHAnsi" w:eastAsia="Times New Roman" w:hAnsiTheme="minorHAnsi" w:cstheme="minorHAnsi"/>
          <w:sz w:val="24"/>
          <w:szCs w:val="24"/>
        </w:rPr>
        <w:t>.</w:t>
      </w:r>
      <w:r w:rsidR="00D35A8E" w:rsidRPr="00605897">
        <w:rPr>
          <w:rFonts w:asciiTheme="minorHAnsi" w:eastAsia="Times New Roman" w:hAnsiTheme="minorHAnsi" w:cstheme="minorHAnsi"/>
          <w:sz w:val="24"/>
          <w:szCs w:val="24"/>
        </w:rPr>
        <w:t xml:space="preserve"> Institutions would be reluctant to risk innovative teaching methods which might impact their scores</w:t>
      </w:r>
      <w:r w:rsidR="00605897" w:rsidRPr="00605897">
        <w:rPr>
          <w:rFonts w:asciiTheme="minorHAnsi" w:eastAsia="Times New Roman" w:hAnsiTheme="minorHAnsi" w:cstheme="minorHAnsi"/>
          <w:sz w:val="24"/>
          <w:szCs w:val="24"/>
        </w:rPr>
        <w:t xml:space="preserve"> – an example of unintended and undesirable consequence</w:t>
      </w:r>
      <w:r w:rsidR="00D35A8E" w:rsidRPr="00605897">
        <w:rPr>
          <w:rFonts w:asciiTheme="minorHAnsi" w:eastAsia="Times New Roman" w:hAnsiTheme="minorHAnsi" w:cstheme="minorHAnsi"/>
          <w:sz w:val="24"/>
          <w:szCs w:val="24"/>
        </w:rPr>
        <w:t>.</w:t>
      </w:r>
    </w:p>
    <w:p w14:paraId="5401A739" w14:textId="77777777" w:rsidR="00BA0CBA" w:rsidRPr="009A4CAD" w:rsidRDefault="00BA0CBA" w:rsidP="009A4CAD">
      <w:pPr>
        <w:pStyle w:val="CommentText"/>
        <w:ind w:left="172"/>
        <w:rPr>
          <w:rFonts w:asciiTheme="minorHAnsi" w:eastAsia="Times New Roman" w:hAnsiTheme="minorHAnsi" w:cs="Arial"/>
          <w:color w:val="5F497A" w:themeColor="accent4" w:themeShade="BF"/>
          <w:sz w:val="24"/>
          <w:szCs w:val="24"/>
        </w:rPr>
      </w:pPr>
    </w:p>
    <w:p w14:paraId="5E792679" w14:textId="77777777" w:rsidR="00934469" w:rsidRDefault="00934469" w:rsidP="00E458FA">
      <w:pPr>
        <w:keepNext/>
        <w:spacing w:after="120" w:line="240" w:lineRule="auto"/>
        <w:ind w:left="142"/>
        <w:outlineLvl w:val="2"/>
        <w:rPr>
          <w:rFonts w:eastAsia="Times New Roman" w:cs="Times New Roman"/>
          <w:b/>
          <w:bCs/>
          <w:color w:val="009BBB"/>
          <w:sz w:val="26"/>
          <w:szCs w:val="26"/>
        </w:rPr>
      </w:pPr>
      <w:bookmarkStart w:id="9" w:name="_Toc434412498"/>
    </w:p>
    <w:p w14:paraId="68C5D7F5" w14:textId="77777777" w:rsidR="00E458FA" w:rsidRPr="00E458FA" w:rsidRDefault="00E458FA" w:rsidP="00E458FA">
      <w:pPr>
        <w:keepNext/>
        <w:spacing w:after="120" w:line="240" w:lineRule="auto"/>
        <w:ind w:left="142"/>
        <w:outlineLvl w:val="2"/>
        <w:rPr>
          <w:rFonts w:eastAsia="Times New Roman" w:cs="Times New Roman"/>
          <w:b/>
          <w:bCs/>
          <w:color w:val="009BBB"/>
          <w:sz w:val="26"/>
          <w:szCs w:val="26"/>
        </w:rPr>
      </w:pPr>
      <w:r w:rsidRPr="00E458FA">
        <w:rPr>
          <w:rFonts w:eastAsia="Times New Roman" w:cs="Times New Roman"/>
          <w:b/>
          <w:bCs/>
          <w:color w:val="009BBB"/>
          <w:sz w:val="26"/>
          <w:szCs w:val="26"/>
        </w:rPr>
        <w:t>Social mobility and widening participation (Part A: Chapter 4)</w:t>
      </w:r>
      <w:bookmarkEnd w:id="9"/>
    </w:p>
    <w:p w14:paraId="08FAB058" w14:textId="77777777"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Question 12:</w:t>
      </w:r>
    </w:p>
    <w:p w14:paraId="144BC762" w14:textId="77777777" w:rsidR="00E458FA" w:rsidRPr="00E458FA" w:rsidRDefault="00E458FA" w:rsidP="00E458FA">
      <w:pPr>
        <w:numPr>
          <w:ilvl w:val="0"/>
          <w:numId w:val="20"/>
        </w:numPr>
        <w:tabs>
          <w:tab w:val="left" w:pos="567"/>
        </w:tabs>
        <w:spacing w:after="288" w:line="240" w:lineRule="auto"/>
        <w:ind w:right="11"/>
        <w:rPr>
          <w:rFonts w:eastAsia="Times New Roman" w:cs="Arial"/>
          <w:szCs w:val="24"/>
        </w:rPr>
      </w:pPr>
      <w:r w:rsidRPr="00E458FA">
        <w:rPr>
          <w:rFonts w:eastAsia="Times New Roman" w:cs="Arial"/>
          <w:szCs w:val="24"/>
        </w:rPr>
        <w:t xml:space="preserve">Do you agree with the proposals to further improve access and success for students from disadvantaged backgrounds and black and minority ethnic (BME) backgrounds? </w:t>
      </w:r>
    </w:p>
    <w:p w14:paraId="3A2CC2E8" w14:textId="77777777" w:rsidR="00E458FA" w:rsidRPr="00E458FA" w:rsidRDefault="00E458FA" w:rsidP="00E458FA">
      <w:pPr>
        <w:tabs>
          <w:tab w:val="left" w:pos="567"/>
        </w:tabs>
        <w:spacing w:after="288" w:line="240" w:lineRule="auto"/>
        <w:ind w:left="142"/>
        <w:rPr>
          <w:rFonts w:eastAsia="Times New Roman" w:cs="Times New Roman"/>
          <w:szCs w:val="24"/>
        </w:rPr>
      </w:pPr>
      <w:r w:rsidRPr="00E458FA">
        <w:rPr>
          <w:rFonts w:eastAsia="Times New Roman" w:cs="Times New Roman"/>
          <w:szCs w:val="24"/>
        </w:rPr>
        <w:t xml:space="preserve">      </w:t>
      </w:r>
      <w:sdt>
        <w:sdtPr>
          <w:rPr>
            <w:rFonts w:ascii="MS Gothic" w:eastAsia="MS Gothic" w:hAnsi="MS Gothic" w:cs="Times New Roman"/>
            <w:szCs w:val="24"/>
          </w:rPr>
          <w:id w:val="-768919719"/>
        </w:sdtPr>
        <w:sdtEndPr/>
        <w:sdtContent>
          <w:r w:rsidR="0041183F">
            <w:rPr>
              <w:rFonts w:ascii="MS Gothic" w:eastAsia="MS Gothic" w:hAnsi="MS Gothic" w:cs="Times New Roman" w:hint="eastAsia"/>
              <w:szCs w:val="24"/>
            </w:rPr>
            <w:t>☒</w:t>
          </w:r>
        </w:sdtContent>
      </w:sdt>
      <w:r w:rsidRPr="00E458FA">
        <w:rPr>
          <w:rFonts w:eastAsia="Times New Roman" w:cs="Times New Roman"/>
          <w:szCs w:val="24"/>
        </w:rPr>
        <w:t xml:space="preserve"> Yes  </w:t>
      </w:r>
      <w:r w:rsidRPr="00E458FA">
        <w:rPr>
          <w:rFonts w:eastAsia="Times New Roman" w:cs="Times New Roman"/>
          <w:szCs w:val="24"/>
        </w:rPr>
        <w:tab/>
      </w:r>
      <w:r w:rsidRPr="00E458FA">
        <w:rPr>
          <w:rFonts w:eastAsia="Times New Roman" w:cs="Times New Roman"/>
          <w:szCs w:val="24"/>
        </w:rPr>
        <w:tab/>
      </w:r>
      <w:sdt>
        <w:sdtPr>
          <w:rPr>
            <w:rFonts w:ascii="MS Gothic" w:eastAsia="MS Gothic" w:hAnsi="MS Gothic" w:cs="Times New Roman"/>
            <w:szCs w:val="24"/>
          </w:rPr>
          <w:id w:val="-1601478035"/>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ascii="MS Gothic" w:eastAsia="MS Gothic" w:hAnsi="MS Gothic" w:cs="Times New Roman"/>
            <w:szCs w:val="24"/>
          </w:rPr>
          <w:id w:val="1125505093"/>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w:t>
      </w:r>
      <w:proofErr w:type="gramStart"/>
      <w:r w:rsidRPr="00E458FA">
        <w:rPr>
          <w:rFonts w:eastAsia="Times New Roman" w:cs="Times New Roman"/>
          <w:szCs w:val="24"/>
        </w:rPr>
        <w:t>Not</w:t>
      </w:r>
      <w:proofErr w:type="gramEnd"/>
      <w:r w:rsidRPr="00E458FA">
        <w:rPr>
          <w:rFonts w:eastAsia="Times New Roman" w:cs="Times New Roman"/>
          <w:szCs w:val="24"/>
        </w:rPr>
        <w:t xml:space="preserve"> sure</w:t>
      </w:r>
    </w:p>
    <w:p w14:paraId="623E22FC" w14:textId="77777777"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Please give reasons for your answer.</w:t>
      </w:r>
    </w:p>
    <w:p w14:paraId="04D0FC2F" w14:textId="77777777" w:rsidR="00934469" w:rsidRPr="00BE10B2" w:rsidRDefault="00934469" w:rsidP="0059557F">
      <w:pPr>
        <w:spacing w:after="288" w:line="240" w:lineRule="auto"/>
        <w:ind w:left="142"/>
        <w:rPr>
          <w:rFonts w:asciiTheme="minorHAnsi" w:eastAsia="Times New Roman" w:hAnsiTheme="minorHAnsi" w:cs="Arial"/>
          <w:szCs w:val="24"/>
        </w:rPr>
      </w:pPr>
      <w:r w:rsidRPr="00BE10B2">
        <w:rPr>
          <w:rFonts w:asciiTheme="minorHAnsi" w:eastAsia="Times New Roman" w:hAnsiTheme="minorHAnsi" w:cs="Arial"/>
          <w:szCs w:val="24"/>
        </w:rPr>
        <w:t xml:space="preserve">We support </w:t>
      </w:r>
      <w:r w:rsidR="00E17190" w:rsidRPr="00BE10B2">
        <w:rPr>
          <w:rFonts w:asciiTheme="minorHAnsi" w:eastAsia="Times New Roman" w:hAnsiTheme="minorHAnsi" w:cs="Arial"/>
          <w:szCs w:val="24"/>
        </w:rPr>
        <w:t xml:space="preserve">in principle </w:t>
      </w:r>
      <w:r w:rsidRPr="00BE10B2">
        <w:rPr>
          <w:rFonts w:asciiTheme="minorHAnsi" w:eastAsia="Times New Roman" w:hAnsiTheme="minorHAnsi" w:cs="Arial"/>
          <w:szCs w:val="24"/>
        </w:rPr>
        <w:t xml:space="preserve">anything that brings about improvements in social mobility and equality. However, </w:t>
      </w:r>
      <w:r w:rsidR="00E17190" w:rsidRPr="00BE10B2">
        <w:rPr>
          <w:rFonts w:asciiTheme="minorHAnsi" w:eastAsia="Times New Roman" w:hAnsiTheme="minorHAnsi" w:cs="Arial"/>
          <w:szCs w:val="24"/>
        </w:rPr>
        <w:t xml:space="preserve">the </w:t>
      </w:r>
      <w:r w:rsidRPr="00BE10B2">
        <w:rPr>
          <w:rFonts w:asciiTheme="minorHAnsi" w:eastAsia="Times New Roman" w:hAnsiTheme="minorHAnsi" w:cs="Arial"/>
          <w:szCs w:val="24"/>
        </w:rPr>
        <w:t xml:space="preserve">links between social mobility, widening participation and teaching excellence </w:t>
      </w:r>
      <w:r w:rsidR="00E17190" w:rsidRPr="00BE10B2">
        <w:rPr>
          <w:rFonts w:asciiTheme="minorHAnsi" w:eastAsia="Times New Roman" w:hAnsiTheme="minorHAnsi" w:cs="Arial"/>
          <w:szCs w:val="24"/>
        </w:rPr>
        <w:t xml:space="preserve">are complicated and indirect and </w:t>
      </w:r>
      <w:r w:rsidRPr="00BE10B2">
        <w:rPr>
          <w:rFonts w:asciiTheme="minorHAnsi" w:eastAsia="Times New Roman" w:hAnsiTheme="minorHAnsi" w:cs="Arial"/>
          <w:szCs w:val="24"/>
        </w:rPr>
        <w:t>need to be explored further to ensure that no unintended consequences arise.</w:t>
      </w:r>
    </w:p>
    <w:p w14:paraId="60675A5C" w14:textId="77777777" w:rsidR="00934469" w:rsidRPr="00BE10B2" w:rsidRDefault="00934469" w:rsidP="0059557F">
      <w:pPr>
        <w:spacing w:after="288" w:line="240" w:lineRule="auto"/>
        <w:ind w:left="142"/>
        <w:rPr>
          <w:rFonts w:asciiTheme="minorHAnsi" w:eastAsia="Times New Roman" w:hAnsiTheme="minorHAnsi" w:cs="Arial"/>
          <w:szCs w:val="24"/>
        </w:rPr>
      </w:pPr>
      <w:r w:rsidRPr="00BE10B2">
        <w:rPr>
          <w:rFonts w:asciiTheme="minorHAnsi" w:eastAsia="Times New Roman" w:hAnsiTheme="minorHAnsi" w:cs="Arial"/>
          <w:szCs w:val="24"/>
        </w:rPr>
        <w:t>There are opportunities to link the measurement of teaching excellence with the levels of support required for these groups of students to succeed.</w:t>
      </w:r>
    </w:p>
    <w:p w14:paraId="7802599B" w14:textId="77777777" w:rsidR="00E458FA" w:rsidRPr="00E458FA" w:rsidRDefault="00E458FA" w:rsidP="00E458FA">
      <w:pPr>
        <w:numPr>
          <w:ilvl w:val="0"/>
          <w:numId w:val="20"/>
        </w:numPr>
        <w:tabs>
          <w:tab w:val="left" w:pos="567"/>
        </w:tabs>
        <w:spacing w:after="288" w:line="240" w:lineRule="auto"/>
        <w:ind w:right="11"/>
        <w:rPr>
          <w:rFonts w:eastAsia="Times New Roman" w:cs="Arial"/>
          <w:szCs w:val="24"/>
        </w:rPr>
      </w:pPr>
      <w:r w:rsidRPr="00E458FA">
        <w:rPr>
          <w:rFonts w:eastAsia="Times New Roman" w:cs="Arial"/>
          <w:szCs w:val="24"/>
        </w:rPr>
        <w:t xml:space="preserve">Do you agree that the Office for Students should have the power to set targets where providers are failing to make progress?  </w:t>
      </w:r>
    </w:p>
    <w:p w14:paraId="0D347584" w14:textId="77777777" w:rsidR="00E458FA" w:rsidRPr="00E458FA" w:rsidRDefault="00E458FA" w:rsidP="006C7C6B">
      <w:pPr>
        <w:tabs>
          <w:tab w:val="left" w:pos="567"/>
        </w:tabs>
        <w:spacing w:after="288" w:line="240" w:lineRule="auto"/>
        <w:ind w:left="142" w:firstLine="360"/>
        <w:rPr>
          <w:rFonts w:eastAsia="Times New Roman" w:cs="Times New Roman"/>
          <w:szCs w:val="24"/>
        </w:rPr>
      </w:pPr>
      <w:r w:rsidRPr="00E458FA">
        <w:rPr>
          <w:rFonts w:eastAsia="Times New Roman" w:cs="Times New Roman"/>
          <w:szCs w:val="24"/>
        </w:rPr>
        <w:t xml:space="preserve"> </w:t>
      </w:r>
      <w:sdt>
        <w:sdtPr>
          <w:rPr>
            <w:rFonts w:ascii="MS Gothic" w:eastAsia="MS Gothic" w:hAnsi="MS Gothic" w:cs="Times New Roman"/>
            <w:szCs w:val="24"/>
          </w:rPr>
          <w:id w:val="1529369998"/>
        </w:sdtPr>
        <w:sdtEndPr/>
        <w:sdtContent>
          <w:r w:rsidR="0041183F">
            <w:rPr>
              <w:rFonts w:ascii="MS Gothic" w:eastAsia="MS Gothic" w:hAnsi="MS Gothic" w:cs="Times New Roman" w:hint="eastAsia"/>
              <w:szCs w:val="24"/>
            </w:rPr>
            <w:t>☒</w:t>
          </w:r>
        </w:sdtContent>
      </w:sdt>
      <w:r w:rsidRPr="00E458FA">
        <w:rPr>
          <w:rFonts w:eastAsia="Times New Roman" w:cs="Times New Roman"/>
          <w:szCs w:val="24"/>
        </w:rPr>
        <w:t xml:space="preserve"> Yes</w:t>
      </w:r>
      <w:r w:rsidRPr="00E458FA">
        <w:rPr>
          <w:rFonts w:eastAsia="Times New Roman" w:cs="Times New Roman"/>
          <w:szCs w:val="24"/>
        </w:rPr>
        <w:tab/>
      </w:r>
      <w:r w:rsidRPr="00E458FA">
        <w:rPr>
          <w:rFonts w:eastAsia="Times New Roman" w:cs="Times New Roman"/>
          <w:szCs w:val="24"/>
        </w:rPr>
        <w:tab/>
      </w:r>
      <w:sdt>
        <w:sdtPr>
          <w:rPr>
            <w:rFonts w:ascii="MS Gothic" w:eastAsia="MS Gothic" w:hAnsi="MS Gothic" w:cs="Times New Roman"/>
            <w:szCs w:val="24"/>
          </w:rPr>
          <w:id w:val="-2032948440"/>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ascii="MS Gothic" w:eastAsia="MS Gothic" w:hAnsi="MS Gothic" w:cs="Times New Roman"/>
            <w:szCs w:val="24"/>
          </w:rPr>
          <w:id w:val="-1890416440"/>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w:t>
      </w:r>
      <w:proofErr w:type="gramStart"/>
      <w:r w:rsidRPr="00E458FA">
        <w:rPr>
          <w:rFonts w:eastAsia="Times New Roman" w:cs="Times New Roman"/>
          <w:szCs w:val="24"/>
        </w:rPr>
        <w:t>Not</w:t>
      </w:r>
      <w:proofErr w:type="gramEnd"/>
      <w:r w:rsidRPr="00E458FA">
        <w:rPr>
          <w:rFonts w:eastAsia="Times New Roman" w:cs="Times New Roman"/>
          <w:szCs w:val="24"/>
        </w:rPr>
        <w:t xml:space="preserve"> sure</w:t>
      </w:r>
    </w:p>
    <w:p w14:paraId="308CF324" w14:textId="77777777"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Please give reasons for your answer.</w:t>
      </w:r>
    </w:p>
    <w:p w14:paraId="2A5869AC" w14:textId="77777777" w:rsidR="00E458FA" w:rsidRPr="005913A0" w:rsidRDefault="000D4664" w:rsidP="00E03B01">
      <w:pPr>
        <w:spacing w:after="288" w:line="240" w:lineRule="auto"/>
        <w:ind w:left="142"/>
        <w:rPr>
          <w:rFonts w:asciiTheme="minorHAnsi" w:eastAsia="Times New Roman" w:hAnsiTheme="minorHAnsi" w:cs="Arial"/>
          <w:szCs w:val="24"/>
        </w:rPr>
      </w:pPr>
      <w:r w:rsidRPr="005913A0">
        <w:rPr>
          <w:rFonts w:asciiTheme="minorHAnsi" w:eastAsia="Times New Roman" w:hAnsiTheme="minorHAnsi" w:cs="Arial"/>
          <w:szCs w:val="24"/>
        </w:rPr>
        <w:t xml:space="preserve">We note that the Green Paper suggests that </w:t>
      </w:r>
      <w:r w:rsidR="00F871D1">
        <w:rPr>
          <w:rFonts w:asciiTheme="minorHAnsi" w:eastAsia="Times New Roman" w:hAnsiTheme="minorHAnsi" w:cs="Arial"/>
          <w:szCs w:val="24"/>
        </w:rPr>
        <w:t>‘</w:t>
      </w:r>
      <w:r w:rsidRPr="005913A0">
        <w:rPr>
          <w:rFonts w:asciiTheme="minorHAnsi" w:eastAsia="Times New Roman" w:hAnsiTheme="minorHAnsi" w:cs="Arial"/>
          <w:szCs w:val="24"/>
        </w:rPr>
        <w:t>the Office for Students could itself take on a validation role</w:t>
      </w:r>
      <w:r w:rsidR="00F871D1">
        <w:rPr>
          <w:rFonts w:asciiTheme="minorHAnsi" w:eastAsia="Times New Roman" w:hAnsiTheme="minorHAnsi" w:cs="Arial"/>
          <w:szCs w:val="24"/>
        </w:rPr>
        <w:t>’</w:t>
      </w:r>
      <w:r w:rsidRPr="005913A0">
        <w:rPr>
          <w:rFonts w:asciiTheme="minorHAnsi" w:eastAsia="Times New Roman" w:hAnsiTheme="minorHAnsi" w:cs="Arial"/>
          <w:szCs w:val="24"/>
        </w:rPr>
        <w:t xml:space="preserve">; this would conflict with this. This is partly why we believe that </w:t>
      </w:r>
      <w:r w:rsidR="00934469" w:rsidRPr="005913A0">
        <w:rPr>
          <w:rFonts w:asciiTheme="minorHAnsi" w:eastAsia="Times New Roman" w:hAnsiTheme="minorHAnsi" w:cs="Arial"/>
          <w:szCs w:val="24"/>
        </w:rPr>
        <w:t>an independent, arms</w:t>
      </w:r>
      <w:r w:rsidR="005913A0" w:rsidRPr="005913A0">
        <w:rPr>
          <w:rFonts w:asciiTheme="minorHAnsi" w:eastAsia="Times New Roman" w:hAnsiTheme="minorHAnsi" w:cs="Arial"/>
          <w:szCs w:val="24"/>
        </w:rPr>
        <w:t>-</w:t>
      </w:r>
      <w:r w:rsidR="00934469" w:rsidRPr="005913A0">
        <w:rPr>
          <w:rFonts w:asciiTheme="minorHAnsi" w:eastAsia="Times New Roman" w:hAnsiTheme="minorHAnsi" w:cs="Arial"/>
          <w:szCs w:val="24"/>
        </w:rPr>
        <w:t xml:space="preserve">length body </w:t>
      </w:r>
      <w:r w:rsidRPr="005913A0">
        <w:rPr>
          <w:rFonts w:asciiTheme="minorHAnsi" w:eastAsia="Times New Roman" w:hAnsiTheme="minorHAnsi" w:cs="Arial"/>
          <w:szCs w:val="24"/>
        </w:rPr>
        <w:t>should remain responsible for quality assessment, to ensure it is independent of any degree-awarding body.</w:t>
      </w:r>
    </w:p>
    <w:p w14:paraId="1CDAAACD" w14:textId="77777777" w:rsidR="00E458FA" w:rsidRPr="005913A0" w:rsidRDefault="003605C4" w:rsidP="00D85185">
      <w:pPr>
        <w:spacing w:after="288" w:line="240" w:lineRule="auto"/>
        <w:ind w:left="142"/>
        <w:rPr>
          <w:rFonts w:eastAsia="Times New Roman" w:cs="Arial"/>
          <w:szCs w:val="24"/>
        </w:rPr>
      </w:pPr>
      <w:r w:rsidRPr="005913A0">
        <w:rPr>
          <w:rFonts w:asciiTheme="minorHAnsi" w:eastAsia="Times New Roman" w:hAnsiTheme="minorHAnsi" w:cs="Arial"/>
          <w:szCs w:val="24"/>
        </w:rPr>
        <w:t>We are not clear how the quality assessment of overseas provision will continue if it</w:t>
      </w:r>
      <w:r w:rsidR="00F871D1">
        <w:rPr>
          <w:rFonts w:asciiTheme="minorHAnsi" w:eastAsia="Times New Roman" w:hAnsiTheme="minorHAnsi" w:cs="Arial"/>
          <w:szCs w:val="24"/>
        </w:rPr>
        <w:t xml:space="preserve"> is</w:t>
      </w:r>
      <w:r w:rsidRPr="005913A0">
        <w:rPr>
          <w:rFonts w:asciiTheme="minorHAnsi" w:eastAsia="Times New Roman" w:hAnsiTheme="minorHAnsi" w:cs="Arial"/>
          <w:szCs w:val="24"/>
        </w:rPr>
        <w:t xml:space="preserve"> not under the aegis of </w:t>
      </w:r>
      <w:r w:rsidR="00934469" w:rsidRPr="005913A0">
        <w:rPr>
          <w:rFonts w:asciiTheme="minorHAnsi" w:eastAsia="Times New Roman" w:hAnsiTheme="minorHAnsi" w:cs="Arial"/>
          <w:szCs w:val="24"/>
        </w:rPr>
        <w:t>an independent, arms</w:t>
      </w:r>
      <w:r w:rsidR="005913A0" w:rsidRPr="005913A0">
        <w:rPr>
          <w:rFonts w:asciiTheme="minorHAnsi" w:eastAsia="Times New Roman" w:hAnsiTheme="minorHAnsi" w:cs="Arial"/>
          <w:szCs w:val="24"/>
        </w:rPr>
        <w:t>-</w:t>
      </w:r>
      <w:r w:rsidR="00934469" w:rsidRPr="005913A0">
        <w:rPr>
          <w:rFonts w:asciiTheme="minorHAnsi" w:eastAsia="Times New Roman" w:hAnsiTheme="minorHAnsi" w:cs="Arial"/>
          <w:szCs w:val="24"/>
        </w:rPr>
        <w:t>length body</w:t>
      </w:r>
      <w:r w:rsidR="005913A0" w:rsidRPr="005913A0">
        <w:rPr>
          <w:rFonts w:asciiTheme="minorHAnsi" w:eastAsia="Times New Roman" w:hAnsiTheme="minorHAnsi" w:cs="Arial"/>
          <w:szCs w:val="24"/>
        </w:rPr>
        <w:t>.</w:t>
      </w:r>
    </w:p>
    <w:p w14:paraId="0BD7409C" w14:textId="77777777" w:rsidR="00E458FA" w:rsidRPr="00D85185" w:rsidRDefault="00E458FA" w:rsidP="00E458FA">
      <w:pPr>
        <w:numPr>
          <w:ilvl w:val="0"/>
          <w:numId w:val="20"/>
        </w:numPr>
        <w:tabs>
          <w:tab w:val="left" w:pos="567"/>
        </w:tabs>
        <w:spacing w:after="288" w:line="240" w:lineRule="auto"/>
        <w:ind w:right="11"/>
        <w:rPr>
          <w:rFonts w:eastAsia="Times New Roman" w:cs="Arial"/>
          <w:i/>
          <w:szCs w:val="24"/>
        </w:rPr>
      </w:pPr>
      <w:r w:rsidRPr="00D85185">
        <w:rPr>
          <w:rFonts w:eastAsia="Times New Roman" w:cs="Arial"/>
          <w:i/>
          <w:szCs w:val="24"/>
        </w:rPr>
        <w:t>What other groups or measures should the Government consider?</w:t>
      </w:r>
    </w:p>
    <w:p w14:paraId="5BD654BF" w14:textId="77777777" w:rsidR="00934469" w:rsidRPr="00B53527" w:rsidRDefault="00934469" w:rsidP="00B53527">
      <w:pPr>
        <w:pStyle w:val="CommentText"/>
        <w:ind w:left="142"/>
        <w:rPr>
          <w:rFonts w:asciiTheme="minorHAnsi" w:eastAsia="Times New Roman" w:hAnsiTheme="minorHAnsi" w:cs="Arial"/>
          <w:sz w:val="24"/>
          <w:szCs w:val="24"/>
        </w:rPr>
      </w:pPr>
      <w:r w:rsidRPr="00B53527">
        <w:rPr>
          <w:rFonts w:asciiTheme="minorHAnsi" w:eastAsia="Times New Roman" w:hAnsiTheme="minorHAnsi" w:cs="Arial"/>
          <w:sz w:val="24"/>
          <w:szCs w:val="24"/>
        </w:rPr>
        <w:t>The system needs to be flexible enough to accommodate future changes to access requirements.</w:t>
      </w:r>
    </w:p>
    <w:p w14:paraId="487E0671" w14:textId="77777777" w:rsidR="00E458FA" w:rsidRPr="00D85185" w:rsidRDefault="00E458FA" w:rsidP="00E458FA">
      <w:pPr>
        <w:tabs>
          <w:tab w:val="left" w:pos="567"/>
          <w:tab w:val="left" w:pos="2776"/>
        </w:tabs>
        <w:spacing w:after="288" w:line="240" w:lineRule="auto"/>
        <w:ind w:left="142" w:right="11"/>
        <w:rPr>
          <w:rFonts w:eastAsia="Times New Roman" w:cs="Arial"/>
          <w:i/>
          <w:szCs w:val="24"/>
        </w:rPr>
      </w:pPr>
      <w:r w:rsidRPr="00D85185">
        <w:rPr>
          <w:rFonts w:eastAsia="Times New Roman" w:cs="Arial"/>
          <w:i/>
          <w:szCs w:val="24"/>
        </w:rPr>
        <w:t>Question 13:</w:t>
      </w:r>
      <w:r w:rsidRPr="00D85185">
        <w:rPr>
          <w:rFonts w:eastAsia="Times New Roman" w:cs="Arial"/>
          <w:i/>
          <w:szCs w:val="24"/>
        </w:rPr>
        <w:tab/>
      </w:r>
    </w:p>
    <w:p w14:paraId="25C9FBD6" w14:textId="77777777" w:rsidR="00E458FA" w:rsidRPr="00D85185" w:rsidRDefault="00E458FA" w:rsidP="00E458FA">
      <w:pPr>
        <w:numPr>
          <w:ilvl w:val="0"/>
          <w:numId w:val="21"/>
        </w:numPr>
        <w:tabs>
          <w:tab w:val="left" w:pos="567"/>
        </w:tabs>
        <w:spacing w:after="288" w:line="240" w:lineRule="auto"/>
        <w:ind w:right="11"/>
        <w:rPr>
          <w:rFonts w:eastAsia="Times New Roman" w:cs="Arial"/>
          <w:i/>
          <w:szCs w:val="24"/>
        </w:rPr>
      </w:pPr>
      <w:r w:rsidRPr="00D85185">
        <w:rPr>
          <w:rFonts w:eastAsia="Times New Roman" w:cs="Arial"/>
          <w:i/>
          <w:szCs w:val="24"/>
        </w:rPr>
        <w:t>What potential benefits for decision and policy making in relation to improving access might arise from additional data being available?</w:t>
      </w:r>
    </w:p>
    <w:p w14:paraId="50CF11F7" w14:textId="77777777" w:rsidR="00D71081" w:rsidRPr="00D71081" w:rsidRDefault="001A542D" w:rsidP="00D71081">
      <w:pPr>
        <w:tabs>
          <w:tab w:val="left" w:pos="567"/>
        </w:tabs>
        <w:spacing w:after="288" w:line="240" w:lineRule="auto"/>
        <w:ind w:left="142" w:right="11"/>
        <w:rPr>
          <w:rFonts w:asciiTheme="minorHAnsi" w:eastAsia="Times New Roman" w:hAnsiTheme="minorHAnsi" w:cstheme="minorHAnsi"/>
          <w:szCs w:val="24"/>
        </w:rPr>
      </w:pPr>
      <w:r w:rsidRPr="00D71081">
        <w:rPr>
          <w:rFonts w:asciiTheme="minorHAnsi" w:eastAsia="Times New Roman" w:hAnsiTheme="minorHAnsi" w:cstheme="minorHAnsi"/>
          <w:szCs w:val="24"/>
        </w:rPr>
        <w:t>QSN’s core focus on quality assurance and quality enhancement</w:t>
      </w:r>
      <w:r w:rsidR="00CA3073">
        <w:rPr>
          <w:rFonts w:asciiTheme="minorHAnsi" w:eastAsia="Times New Roman" w:hAnsiTheme="minorHAnsi" w:cstheme="minorHAnsi"/>
          <w:szCs w:val="24"/>
        </w:rPr>
        <w:t xml:space="preserve"> means we are unable to comment on this.</w:t>
      </w:r>
    </w:p>
    <w:p w14:paraId="32F106AD" w14:textId="77777777" w:rsidR="00E458FA" w:rsidRPr="00D85185" w:rsidRDefault="00E458FA" w:rsidP="00E458FA">
      <w:pPr>
        <w:numPr>
          <w:ilvl w:val="0"/>
          <w:numId w:val="21"/>
        </w:numPr>
        <w:tabs>
          <w:tab w:val="left" w:pos="567"/>
        </w:tabs>
        <w:spacing w:after="288" w:line="240" w:lineRule="auto"/>
        <w:ind w:right="11"/>
        <w:rPr>
          <w:rFonts w:eastAsia="Times New Roman" w:cs="Arial"/>
          <w:i/>
          <w:szCs w:val="24"/>
        </w:rPr>
      </w:pPr>
      <w:r w:rsidRPr="00D85185">
        <w:rPr>
          <w:rFonts w:eastAsia="Times New Roman" w:cs="Arial"/>
          <w:i/>
          <w:szCs w:val="24"/>
        </w:rPr>
        <w:lastRenderedPageBreak/>
        <w:t>What additional administrative burdens might this place on organisations? If additional costs are expected to be associated with this, please quantify them.</w:t>
      </w:r>
    </w:p>
    <w:p w14:paraId="6399DB6F" w14:textId="77777777" w:rsidR="00CA3073" w:rsidRDefault="001A542D" w:rsidP="00CA3073">
      <w:pPr>
        <w:tabs>
          <w:tab w:val="left" w:pos="567"/>
        </w:tabs>
        <w:spacing w:after="288" w:line="240" w:lineRule="auto"/>
        <w:ind w:left="142" w:right="11"/>
        <w:rPr>
          <w:rFonts w:asciiTheme="minorHAnsi" w:eastAsia="Times New Roman" w:hAnsiTheme="minorHAnsi" w:cstheme="minorHAnsi"/>
          <w:szCs w:val="24"/>
        </w:rPr>
      </w:pPr>
      <w:r w:rsidRPr="00CA3073">
        <w:rPr>
          <w:rFonts w:asciiTheme="minorHAnsi" w:eastAsia="Times New Roman" w:hAnsiTheme="minorHAnsi" w:cs="Arial"/>
          <w:szCs w:val="24"/>
        </w:rPr>
        <w:t xml:space="preserve">QSN’s core focus </w:t>
      </w:r>
      <w:r w:rsidR="00F871D1">
        <w:rPr>
          <w:rFonts w:asciiTheme="minorHAnsi" w:eastAsia="Times New Roman" w:hAnsiTheme="minorHAnsi" w:cs="Arial"/>
          <w:szCs w:val="24"/>
        </w:rPr>
        <w:t xml:space="preserve">is </w:t>
      </w:r>
      <w:r w:rsidRPr="00CA3073">
        <w:rPr>
          <w:rFonts w:asciiTheme="minorHAnsi" w:eastAsia="Times New Roman" w:hAnsiTheme="minorHAnsi" w:cs="Arial"/>
          <w:szCs w:val="24"/>
        </w:rPr>
        <w:t>on quality assurance and quality enhancement</w:t>
      </w:r>
      <w:r w:rsidR="00F871D1">
        <w:rPr>
          <w:rFonts w:asciiTheme="minorHAnsi" w:eastAsia="Times New Roman" w:hAnsiTheme="minorHAnsi" w:cs="Arial"/>
          <w:szCs w:val="24"/>
        </w:rPr>
        <w:t>;</w:t>
      </w:r>
      <w:r w:rsidR="00CA3073" w:rsidRPr="00CA3073">
        <w:rPr>
          <w:rFonts w:asciiTheme="minorHAnsi" w:eastAsia="Times New Roman" w:hAnsiTheme="minorHAnsi" w:cstheme="minorHAnsi"/>
          <w:szCs w:val="24"/>
        </w:rPr>
        <w:t xml:space="preserve"> </w:t>
      </w:r>
      <w:r w:rsidR="00CA3073" w:rsidRPr="00D71081">
        <w:rPr>
          <w:rFonts w:asciiTheme="minorHAnsi" w:eastAsia="Times New Roman" w:hAnsiTheme="minorHAnsi" w:cstheme="minorHAnsi"/>
          <w:szCs w:val="24"/>
        </w:rPr>
        <w:t>however, key areas involved here concern UK-wide organisations and arrangements</w:t>
      </w:r>
      <w:r w:rsidR="00F871D1">
        <w:rPr>
          <w:rFonts w:asciiTheme="minorHAnsi" w:eastAsia="Times New Roman" w:hAnsiTheme="minorHAnsi" w:cstheme="minorHAnsi"/>
          <w:szCs w:val="24"/>
        </w:rPr>
        <w:t>,</w:t>
      </w:r>
      <w:r w:rsidR="00CA3073" w:rsidRPr="00D71081">
        <w:rPr>
          <w:rFonts w:asciiTheme="minorHAnsi" w:eastAsia="Times New Roman" w:hAnsiTheme="minorHAnsi" w:cstheme="minorHAnsi"/>
          <w:szCs w:val="24"/>
        </w:rPr>
        <w:t xml:space="preserve"> and we are concerned that the Green Paper does not confuse the rest of the world about the unitary nature of UK HE brand.  It is essential that this activity is taken forward by the four UK nations acting together.</w:t>
      </w:r>
    </w:p>
    <w:p w14:paraId="20842132" w14:textId="77777777" w:rsidR="001A542D" w:rsidRDefault="001A542D" w:rsidP="00E458FA">
      <w:pPr>
        <w:keepNext/>
        <w:spacing w:after="120" w:line="240" w:lineRule="auto"/>
        <w:ind w:left="142"/>
        <w:outlineLvl w:val="2"/>
        <w:rPr>
          <w:rFonts w:eastAsia="Times New Roman" w:cs="Times New Roman"/>
          <w:b/>
          <w:bCs/>
          <w:color w:val="009BBB"/>
          <w:sz w:val="26"/>
          <w:szCs w:val="26"/>
        </w:rPr>
      </w:pPr>
      <w:bookmarkStart w:id="10" w:name="_Toc434412499"/>
    </w:p>
    <w:p w14:paraId="07FA35E9" w14:textId="77777777" w:rsidR="00E458FA" w:rsidRPr="00E458FA" w:rsidRDefault="00E458FA" w:rsidP="00E458FA">
      <w:pPr>
        <w:keepNext/>
        <w:spacing w:after="120" w:line="240" w:lineRule="auto"/>
        <w:ind w:left="142"/>
        <w:outlineLvl w:val="2"/>
        <w:rPr>
          <w:rFonts w:eastAsia="Times New Roman" w:cs="Times New Roman"/>
          <w:b/>
          <w:bCs/>
          <w:color w:val="009BBB"/>
          <w:sz w:val="26"/>
          <w:szCs w:val="26"/>
        </w:rPr>
      </w:pPr>
      <w:r w:rsidRPr="00E458FA">
        <w:rPr>
          <w:rFonts w:eastAsia="Times New Roman" w:cs="Times New Roman"/>
          <w:b/>
          <w:bCs/>
          <w:color w:val="009BBB"/>
          <w:sz w:val="26"/>
          <w:szCs w:val="26"/>
        </w:rPr>
        <w:t>Opening up the sector to new providers (Part B: Chapter 1)</w:t>
      </w:r>
      <w:bookmarkEnd w:id="10"/>
    </w:p>
    <w:p w14:paraId="24F2EEB5" w14:textId="77777777"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 xml:space="preserve">Question 14: Do you agree with the proposed single route into the higher education sector?  </w:t>
      </w:r>
    </w:p>
    <w:p w14:paraId="16BC5F09" w14:textId="77777777" w:rsidR="00E458FA" w:rsidRPr="00E458FA" w:rsidRDefault="00E458FA" w:rsidP="00E458FA">
      <w:pPr>
        <w:tabs>
          <w:tab w:val="left" w:pos="567"/>
        </w:tabs>
        <w:spacing w:after="288" w:line="240" w:lineRule="auto"/>
        <w:ind w:left="142"/>
        <w:rPr>
          <w:rFonts w:eastAsia="Times New Roman" w:cs="Times New Roman"/>
          <w:szCs w:val="24"/>
        </w:rPr>
      </w:pPr>
      <w:r w:rsidRPr="00E458FA">
        <w:rPr>
          <w:rFonts w:eastAsia="Times New Roman" w:cs="Times New Roman"/>
          <w:szCs w:val="24"/>
        </w:rPr>
        <w:t xml:space="preserve"> </w:t>
      </w:r>
      <w:r w:rsidRPr="00E458FA">
        <w:rPr>
          <w:rFonts w:eastAsia="Times New Roman" w:cs="Times New Roman"/>
          <w:szCs w:val="24"/>
        </w:rPr>
        <w:tab/>
      </w:r>
      <w:sdt>
        <w:sdtPr>
          <w:rPr>
            <w:rFonts w:eastAsia="Times New Roman" w:cs="Times New Roman"/>
            <w:szCs w:val="24"/>
          </w:rPr>
          <w:id w:val="987746131"/>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Yes</w:t>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5801436"/>
        </w:sdtPr>
        <w:sdtEndPr/>
        <w:sdtContent>
          <w:r w:rsidR="001D4361">
            <w:rPr>
              <w:rFonts w:ascii="MS Gothic" w:eastAsia="MS Gothic" w:hAnsi="MS Gothic" w:cs="Times New Roman" w:hint="eastAsia"/>
              <w:szCs w:val="24"/>
            </w:rPr>
            <w:t>☐</w:t>
          </w:r>
        </w:sdtContent>
      </w:sdt>
      <w:r w:rsidRPr="00E458FA">
        <w:rPr>
          <w:rFonts w:eastAsia="Times New Roman" w:cs="Times New Roman"/>
          <w:szCs w:val="24"/>
        </w:rPr>
        <w:t xml:space="preserve"> 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1191913701"/>
        </w:sdtPr>
        <w:sdtEndPr/>
        <w:sdtContent>
          <w:r w:rsidR="001D4361">
            <w:rPr>
              <w:rFonts w:ascii="MS Gothic" w:eastAsia="MS Gothic" w:hAnsi="MS Gothic" w:cs="Times New Roman" w:hint="eastAsia"/>
              <w:szCs w:val="24"/>
            </w:rPr>
            <w:t>☒</w:t>
          </w:r>
        </w:sdtContent>
      </w:sdt>
      <w:r w:rsidRPr="00E458FA">
        <w:rPr>
          <w:rFonts w:eastAsia="Times New Roman" w:cs="Times New Roman"/>
          <w:szCs w:val="24"/>
        </w:rPr>
        <w:t xml:space="preserve"> </w:t>
      </w:r>
      <w:proofErr w:type="gramStart"/>
      <w:r w:rsidRPr="00E458FA">
        <w:rPr>
          <w:rFonts w:eastAsia="Times New Roman" w:cs="Times New Roman"/>
          <w:szCs w:val="24"/>
        </w:rPr>
        <w:t>Not</w:t>
      </w:r>
      <w:proofErr w:type="gramEnd"/>
      <w:r w:rsidRPr="00E458FA">
        <w:rPr>
          <w:rFonts w:eastAsia="Times New Roman" w:cs="Times New Roman"/>
          <w:szCs w:val="24"/>
        </w:rPr>
        <w:t xml:space="preserve"> sure</w:t>
      </w:r>
    </w:p>
    <w:p w14:paraId="5396A879" w14:textId="77777777" w:rsidR="00E458FA" w:rsidRPr="00E458FA" w:rsidRDefault="00E458FA" w:rsidP="00E458FA">
      <w:pPr>
        <w:tabs>
          <w:tab w:val="left" w:pos="567"/>
        </w:tabs>
        <w:spacing w:after="288" w:line="240" w:lineRule="auto"/>
        <w:ind w:left="142" w:right="11"/>
        <w:rPr>
          <w:rFonts w:eastAsia="Times New Roman" w:cs="Arial"/>
          <w:bCs/>
          <w:iCs/>
          <w:szCs w:val="24"/>
        </w:rPr>
      </w:pPr>
      <w:r w:rsidRPr="00E458FA">
        <w:rPr>
          <w:rFonts w:eastAsia="Times New Roman" w:cs="Arial"/>
          <w:szCs w:val="24"/>
        </w:rPr>
        <w:t>Please give reasons for your answer, including information quantifying how the potential cost of entry would change as a result of these proposals.</w:t>
      </w:r>
    </w:p>
    <w:p w14:paraId="55C9F961" w14:textId="77777777" w:rsidR="00D35A8E" w:rsidRPr="003C1721" w:rsidRDefault="001D4361" w:rsidP="00D35A8E">
      <w:pPr>
        <w:spacing w:after="288" w:line="240" w:lineRule="auto"/>
        <w:ind w:left="142"/>
        <w:rPr>
          <w:rFonts w:asciiTheme="minorHAnsi" w:eastAsia="Times New Roman" w:hAnsiTheme="minorHAnsi" w:cstheme="minorHAnsi"/>
          <w:szCs w:val="24"/>
        </w:rPr>
      </w:pPr>
      <w:r w:rsidRPr="003C1721">
        <w:rPr>
          <w:rFonts w:asciiTheme="minorHAnsi" w:eastAsia="Times New Roman" w:hAnsiTheme="minorHAnsi" w:cstheme="minorHAnsi"/>
          <w:szCs w:val="24"/>
        </w:rPr>
        <w:t>We recognise the value of a single route into the higher education sector.  However, w</w:t>
      </w:r>
      <w:r w:rsidR="00D55836" w:rsidRPr="003C1721">
        <w:rPr>
          <w:rFonts w:asciiTheme="minorHAnsi" w:eastAsia="Times New Roman" w:hAnsiTheme="minorHAnsi" w:cstheme="minorHAnsi"/>
          <w:szCs w:val="24"/>
        </w:rPr>
        <w:t xml:space="preserve">hilst the current system is perhaps overly bureaucratic regarding course designation and applications for taught degree-awarding powers, </w:t>
      </w:r>
      <w:r w:rsidRPr="003C1721">
        <w:rPr>
          <w:rFonts w:asciiTheme="minorHAnsi" w:eastAsia="Times New Roman" w:hAnsiTheme="minorHAnsi" w:cstheme="minorHAnsi"/>
          <w:szCs w:val="24"/>
        </w:rPr>
        <w:t>the</w:t>
      </w:r>
      <w:r w:rsidR="00ED4099" w:rsidRPr="003C1721">
        <w:rPr>
          <w:rFonts w:asciiTheme="minorHAnsi" w:eastAsia="Times New Roman" w:hAnsiTheme="minorHAnsi" w:cstheme="minorHAnsi"/>
          <w:szCs w:val="24"/>
        </w:rPr>
        <w:t xml:space="preserve"> </w:t>
      </w:r>
      <w:r w:rsidR="00D55836" w:rsidRPr="003C1721">
        <w:rPr>
          <w:rFonts w:asciiTheme="minorHAnsi" w:eastAsia="Times New Roman" w:hAnsiTheme="minorHAnsi" w:cstheme="minorHAnsi"/>
          <w:szCs w:val="24"/>
        </w:rPr>
        <w:t>proposed speeding up of the process by which a new provider can award its own degrees and call itself a university may be problematic in terms of other stated aims of the Green Paper. This will not protect standards but rather may serve to weaken them</w:t>
      </w:r>
      <w:r w:rsidR="00EC22F7" w:rsidRPr="003C1721">
        <w:rPr>
          <w:rFonts w:asciiTheme="minorHAnsi" w:eastAsia="Times New Roman" w:hAnsiTheme="minorHAnsi" w:cstheme="minorHAnsi"/>
          <w:szCs w:val="24"/>
        </w:rPr>
        <w:t>, both directly and indirectly through undermining the UK’s reputation.</w:t>
      </w:r>
      <w:r w:rsidR="00D55836" w:rsidRPr="003C1721">
        <w:rPr>
          <w:rFonts w:asciiTheme="minorHAnsi" w:eastAsia="Times New Roman" w:hAnsiTheme="minorHAnsi" w:cstheme="minorHAnsi"/>
          <w:szCs w:val="24"/>
        </w:rPr>
        <w:t xml:space="preserve"> </w:t>
      </w:r>
      <w:r w:rsidR="004204B0" w:rsidRPr="003C1721">
        <w:rPr>
          <w:rFonts w:asciiTheme="minorHAnsi" w:eastAsia="Times New Roman" w:hAnsiTheme="minorHAnsi" w:cstheme="minorHAnsi"/>
          <w:szCs w:val="24"/>
        </w:rPr>
        <w:t xml:space="preserve"> </w:t>
      </w:r>
    </w:p>
    <w:p w14:paraId="4070ECC2" w14:textId="77777777" w:rsidR="00D35A8E" w:rsidRPr="003C1721" w:rsidRDefault="00D35A8E" w:rsidP="00D35A8E">
      <w:pPr>
        <w:spacing w:after="288" w:line="240" w:lineRule="auto"/>
        <w:ind w:left="142"/>
        <w:rPr>
          <w:rFonts w:asciiTheme="minorHAnsi" w:eastAsia="Times New Roman" w:hAnsiTheme="minorHAnsi" w:cstheme="minorHAnsi"/>
          <w:szCs w:val="24"/>
        </w:rPr>
      </w:pPr>
      <w:r w:rsidRPr="003C1721">
        <w:rPr>
          <w:rFonts w:asciiTheme="minorHAnsi" w:eastAsia="Times New Roman" w:hAnsiTheme="minorHAnsi" w:cstheme="minorHAnsi"/>
          <w:szCs w:val="24"/>
        </w:rPr>
        <w:t>It could also lead to excess provision in cheaper subjects at the expense of more expensive STEM subjects.</w:t>
      </w:r>
    </w:p>
    <w:p w14:paraId="4737A53E" w14:textId="77777777" w:rsidR="00D55836" w:rsidRPr="003C1721" w:rsidRDefault="004204B0" w:rsidP="00E458FA">
      <w:pPr>
        <w:spacing w:after="288" w:line="240" w:lineRule="auto"/>
        <w:ind w:left="142"/>
        <w:rPr>
          <w:rFonts w:asciiTheme="minorHAnsi" w:eastAsia="Times New Roman" w:hAnsiTheme="minorHAnsi" w:cstheme="minorHAnsi"/>
          <w:szCs w:val="24"/>
        </w:rPr>
      </w:pPr>
      <w:r w:rsidRPr="003C1721">
        <w:rPr>
          <w:rFonts w:asciiTheme="minorHAnsi" w:eastAsia="Times New Roman" w:hAnsiTheme="minorHAnsi" w:cstheme="minorHAnsi"/>
          <w:szCs w:val="24"/>
        </w:rPr>
        <w:t>As a numbe</w:t>
      </w:r>
      <w:r w:rsidR="00ED4099" w:rsidRPr="003C1721">
        <w:rPr>
          <w:rFonts w:asciiTheme="minorHAnsi" w:eastAsia="Times New Roman" w:hAnsiTheme="minorHAnsi" w:cstheme="minorHAnsi"/>
          <w:szCs w:val="24"/>
        </w:rPr>
        <w:t xml:space="preserve">r of new providers may limit </w:t>
      </w:r>
      <w:r w:rsidRPr="003C1721">
        <w:rPr>
          <w:rFonts w:asciiTheme="minorHAnsi" w:eastAsia="Times New Roman" w:hAnsiTheme="minorHAnsi" w:cstheme="minorHAnsi"/>
          <w:szCs w:val="24"/>
        </w:rPr>
        <w:t>themselves to a single or very few subjects at the time of applying for degree awarding powers, we recommend some limits on degree-awarding powers and controls over addition of new subject areas.</w:t>
      </w:r>
      <w:r w:rsidR="00ED4099" w:rsidRPr="003C1721">
        <w:rPr>
          <w:rFonts w:asciiTheme="minorHAnsi" w:eastAsia="Times New Roman" w:hAnsiTheme="minorHAnsi" w:cstheme="minorHAnsi"/>
          <w:szCs w:val="24"/>
        </w:rPr>
        <w:t xml:space="preserve"> We also believe that the threshold for entry into the UK Higher Education sector should remain high</w:t>
      </w:r>
      <w:r w:rsidR="003C1721" w:rsidRPr="003C1721">
        <w:rPr>
          <w:rFonts w:asciiTheme="minorHAnsi" w:eastAsia="Times New Roman" w:hAnsiTheme="minorHAnsi" w:cstheme="minorHAnsi"/>
          <w:szCs w:val="24"/>
        </w:rPr>
        <w:t>.</w:t>
      </w:r>
    </w:p>
    <w:p w14:paraId="3CCB2267" w14:textId="77777777" w:rsidR="00E458FA" w:rsidRPr="003C1721" w:rsidRDefault="00D55836" w:rsidP="00E458FA">
      <w:pPr>
        <w:spacing w:after="288" w:line="240" w:lineRule="auto"/>
        <w:ind w:left="142"/>
        <w:rPr>
          <w:rFonts w:asciiTheme="minorHAnsi" w:eastAsia="Times New Roman" w:hAnsiTheme="minorHAnsi" w:cstheme="minorHAnsi"/>
          <w:szCs w:val="24"/>
        </w:rPr>
      </w:pPr>
      <w:r w:rsidRPr="003C1721">
        <w:rPr>
          <w:rFonts w:asciiTheme="minorHAnsi" w:eastAsia="Times New Roman" w:hAnsiTheme="minorHAnsi" w:cstheme="minorHAnsi"/>
          <w:szCs w:val="24"/>
        </w:rPr>
        <w:t>We do not agree that this</w:t>
      </w:r>
      <w:r w:rsidR="00506A0F" w:rsidRPr="003C1721">
        <w:rPr>
          <w:rFonts w:asciiTheme="minorHAnsi" w:eastAsia="Times New Roman" w:hAnsiTheme="minorHAnsi" w:cstheme="minorHAnsi"/>
          <w:szCs w:val="24"/>
        </w:rPr>
        <w:t xml:space="preserve"> position</w:t>
      </w:r>
      <w:r w:rsidRPr="003C1721">
        <w:rPr>
          <w:rFonts w:asciiTheme="minorHAnsi" w:eastAsia="Times New Roman" w:hAnsiTheme="minorHAnsi" w:cstheme="minorHAnsi"/>
          <w:szCs w:val="24"/>
        </w:rPr>
        <w:t xml:space="preserve"> is anti-competitive; rather it means that a provider new to the marketplace can be mentored and supported by an experienced institution</w:t>
      </w:r>
      <w:r w:rsidR="00506A0F" w:rsidRPr="003C1721">
        <w:rPr>
          <w:rFonts w:asciiTheme="minorHAnsi" w:eastAsia="Times New Roman" w:hAnsiTheme="minorHAnsi" w:cstheme="minorHAnsi"/>
          <w:szCs w:val="24"/>
        </w:rPr>
        <w:t xml:space="preserve"> and appropriate controls are in place for the protection of students’ interests and the reputation of UK HE overseas</w:t>
      </w:r>
      <w:r w:rsidRPr="003C1721">
        <w:rPr>
          <w:rFonts w:asciiTheme="minorHAnsi" w:eastAsia="Times New Roman" w:hAnsiTheme="minorHAnsi" w:cstheme="minorHAnsi"/>
          <w:szCs w:val="24"/>
        </w:rPr>
        <w:t xml:space="preserve">.  </w:t>
      </w:r>
    </w:p>
    <w:p w14:paraId="57F38BF4" w14:textId="77777777" w:rsidR="00E458FA" w:rsidRPr="003C1721" w:rsidRDefault="008A56BB" w:rsidP="00E458FA">
      <w:pPr>
        <w:spacing w:after="288" w:line="240" w:lineRule="auto"/>
        <w:ind w:left="142"/>
        <w:rPr>
          <w:rFonts w:asciiTheme="minorHAnsi" w:eastAsia="Times New Roman" w:hAnsiTheme="minorHAnsi" w:cstheme="minorHAnsi"/>
          <w:szCs w:val="24"/>
        </w:rPr>
      </w:pPr>
      <w:r w:rsidRPr="003C1721">
        <w:rPr>
          <w:rFonts w:asciiTheme="minorHAnsi" w:eastAsia="Times New Roman" w:hAnsiTheme="minorHAnsi" w:cstheme="minorHAnsi"/>
          <w:szCs w:val="24"/>
        </w:rPr>
        <w:t>It is difficult to see how cost might change.</w:t>
      </w:r>
      <w:r w:rsidR="00D55836" w:rsidRPr="003C1721">
        <w:rPr>
          <w:rFonts w:asciiTheme="minorHAnsi" w:eastAsia="Times New Roman" w:hAnsiTheme="minorHAnsi" w:cstheme="minorHAnsi"/>
          <w:szCs w:val="24"/>
        </w:rPr>
        <w:t xml:space="preserve"> Organisations would still need to be scrutinised before they might qualify for degree-awarding powers. </w:t>
      </w:r>
      <w:r w:rsidR="00E03B01" w:rsidRPr="003C1721">
        <w:rPr>
          <w:rFonts w:asciiTheme="minorHAnsi" w:eastAsia="Times New Roman" w:hAnsiTheme="minorHAnsi" w:cstheme="minorHAnsi"/>
          <w:szCs w:val="24"/>
        </w:rPr>
        <w:t xml:space="preserve">Cost to individual institutions seeking degree-awarding powers needs to be balanced against potential costs to the sector and the </w:t>
      </w:r>
      <w:r w:rsidR="00CB4EC7">
        <w:rPr>
          <w:rFonts w:asciiTheme="minorHAnsi" w:eastAsia="Times New Roman" w:hAnsiTheme="minorHAnsi" w:cstheme="minorHAnsi"/>
          <w:szCs w:val="24"/>
        </w:rPr>
        <w:t xml:space="preserve">collective </w:t>
      </w:r>
      <w:r w:rsidR="00E03B01" w:rsidRPr="003C1721">
        <w:rPr>
          <w:rFonts w:asciiTheme="minorHAnsi" w:eastAsia="Times New Roman" w:hAnsiTheme="minorHAnsi" w:cstheme="minorHAnsi"/>
          <w:szCs w:val="24"/>
        </w:rPr>
        <w:t xml:space="preserve">reputation of UK HE. </w:t>
      </w:r>
    </w:p>
    <w:p w14:paraId="354CF4DF" w14:textId="77777777" w:rsidR="003C1721" w:rsidRPr="003C1721" w:rsidRDefault="003C1721" w:rsidP="003C1721">
      <w:pPr>
        <w:spacing w:after="288" w:line="240" w:lineRule="auto"/>
        <w:ind w:left="142"/>
        <w:rPr>
          <w:rFonts w:asciiTheme="minorHAnsi" w:eastAsia="Times New Roman" w:hAnsiTheme="minorHAnsi" w:cstheme="minorHAnsi"/>
          <w:bCs/>
          <w:iCs/>
          <w:szCs w:val="24"/>
        </w:rPr>
      </w:pPr>
      <w:r w:rsidRPr="003C1721">
        <w:rPr>
          <w:rFonts w:asciiTheme="minorHAnsi" w:eastAsia="Times New Roman" w:hAnsiTheme="minorHAnsi" w:cstheme="minorHAnsi"/>
          <w:szCs w:val="24"/>
        </w:rPr>
        <w:t xml:space="preserve">With respect to the proposal that the </w:t>
      </w:r>
      <w:proofErr w:type="spellStart"/>
      <w:r w:rsidRPr="003C1721">
        <w:rPr>
          <w:rFonts w:asciiTheme="minorHAnsi" w:eastAsia="Times New Roman" w:hAnsiTheme="minorHAnsi" w:cstheme="minorHAnsi"/>
          <w:szCs w:val="24"/>
        </w:rPr>
        <w:t>OfS</w:t>
      </w:r>
      <w:proofErr w:type="spellEnd"/>
      <w:r w:rsidRPr="003C1721">
        <w:rPr>
          <w:rFonts w:asciiTheme="minorHAnsi" w:eastAsia="Times New Roman" w:hAnsiTheme="minorHAnsi" w:cstheme="minorHAnsi"/>
          <w:szCs w:val="24"/>
        </w:rPr>
        <w:t xml:space="preserve"> is funded by means of subscriptions, </w:t>
      </w:r>
      <w:r w:rsidRPr="003C1721">
        <w:rPr>
          <w:rFonts w:asciiTheme="minorHAnsi" w:eastAsia="Times New Roman" w:hAnsiTheme="minorHAnsi" w:cstheme="minorHAnsi"/>
          <w:bCs/>
          <w:iCs/>
          <w:szCs w:val="24"/>
        </w:rPr>
        <w:t xml:space="preserve">the costs of application to enter the sector should be borne by the applicant.  The costs of the </w:t>
      </w:r>
      <w:r w:rsidRPr="003C1721">
        <w:rPr>
          <w:rFonts w:asciiTheme="minorHAnsi" w:eastAsia="Times New Roman" w:hAnsiTheme="minorHAnsi" w:cstheme="minorHAnsi"/>
          <w:bCs/>
          <w:iCs/>
          <w:szCs w:val="24"/>
        </w:rPr>
        <w:lastRenderedPageBreak/>
        <w:t xml:space="preserve">intensive monitoring that is essential in developing the track record of a new entrant should also be borne directly by that entrant.  </w:t>
      </w:r>
    </w:p>
    <w:p w14:paraId="645AD1B2" w14:textId="77777777" w:rsidR="00E010C6" w:rsidRPr="003C1721" w:rsidRDefault="00E010C6" w:rsidP="00E458FA">
      <w:pPr>
        <w:spacing w:after="288" w:line="240" w:lineRule="auto"/>
        <w:ind w:left="142"/>
        <w:rPr>
          <w:rFonts w:asciiTheme="minorHAnsi" w:eastAsia="Times New Roman" w:hAnsiTheme="minorHAnsi" w:cstheme="minorHAnsi"/>
          <w:szCs w:val="24"/>
        </w:rPr>
      </w:pPr>
      <w:r w:rsidRPr="003C1721">
        <w:rPr>
          <w:rFonts w:asciiTheme="minorHAnsi" w:eastAsia="Times New Roman" w:hAnsiTheme="minorHAnsi" w:cstheme="minorHAnsi"/>
          <w:szCs w:val="24"/>
        </w:rPr>
        <w:t xml:space="preserve">We would also wish to note that ‘entry to the sector’ is not necessarily equivalent to degree-awarding powers; they are two rather different things. </w:t>
      </w:r>
    </w:p>
    <w:p w14:paraId="0B2B8CD5" w14:textId="77777777" w:rsidR="00D26546" w:rsidRPr="003C1721" w:rsidRDefault="00D26546" w:rsidP="00E458FA">
      <w:pPr>
        <w:spacing w:after="288" w:line="240" w:lineRule="auto"/>
        <w:ind w:left="142"/>
        <w:rPr>
          <w:rFonts w:asciiTheme="minorHAnsi" w:eastAsia="Times New Roman" w:hAnsiTheme="minorHAnsi" w:cstheme="minorHAnsi"/>
          <w:szCs w:val="24"/>
        </w:rPr>
      </w:pPr>
      <w:r w:rsidRPr="003C1721">
        <w:rPr>
          <w:rFonts w:asciiTheme="minorHAnsi" w:hAnsiTheme="minorHAnsi" w:cstheme="minorHAnsi"/>
        </w:rPr>
        <w:t>It should be noted that, from the information provided in the document, while there appears to be a single entry point for receipt of applications to Models 1, 2a, and 2b, the level playing has not been established.  With regard to Alternative Providers, our understanding is that, without repeal of the 1988 Education Act and removal of student number caps and controls, this will simply reinforce the status quo.</w:t>
      </w:r>
    </w:p>
    <w:p w14:paraId="20C681D3" w14:textId="77777777" w:rsidR="00E458FA" w:rsidRPr="00E458FA" w:rsidRDefault="00E458FA" w:rsidP="00E458FA">
      <w:pPr>
        <w:spacing w:after="288" w:line="240" w:lineRule="auto"/>
        <w:ind w:left="142"/>
        <w:rPr>
          <w:rFonts w:eastAsia="Times New Roman" w:cs="Times New Roman"/>
          <w:bCs/>
          <w:iCs/>
          <w:szCs w:val="24"/>
        </w:rPr>
      </w:pPr>
      <w:r w:rsidRPr="00E458FA">
        <w:rPr>
          <w:rFonts w:eastAsia="Times New Roman" w:cs="Times New Roman"/>
          <w:bCs/>
          <w:iCs/>
          <w:szCs w:val="24"/>
        </w:rPr>
        <w:t>Question 15:</w:t>
      </w:r>
    </w:p>
    <w:p w14:paraId="7A6F4933" w14:textId="77777777" w:rsidR="00E458FA" w:rsidRPr="00E458FA" w:rsidRDefault="00E458FA" w:rsidP="00E458FA">
      <w:pPr>
        <w:numPr>
          <w:ilvl w:val="0"/>
          <w:numId w:val="22"/>
        </w:numPr>
        <w:tabs>
          <w:tab w:val="left" w:pos="567"/>
        </w:tabs>
        <w:spacing w:after="288" w:line="240" w:lineRule="auto"/>
        <w:ind w:right="11"/>
        <w:rPr>
          <w:rFonts w:eastAsia="Times New Roman" w:cs="Arial"/>
          <w:szCs w:val="24"/>
        </w:rPr>
      </w:pPr>
      <w:r w:rsidRPr="00E458FA">
        <w:rPr>
          <w:rFonts w:eastAsia="Times New Roman" w:cs="Arial"/>
          <w:szCs w:val="24"/>
        </w:rPr>
        <w:t xml:space="preserve">Do you agree with the proposed risk-based approach to eligibility for degree awarding powers (DAPs) and university title? </w:t>
      </w:r>
    </w:p>
    <w:p w14:paraId="1A5829A8" w14:textId="77777777" w:rsidR="00E458FA" w:rsidRPr="00E458FA" w:rsidRDefault="00E458FA" w:rsidP="00E458FA">
      <w:pPr>
        <w:tabs>
          <w:tab w:val="left" w:pos="567"/>
        </w:tabs>
        <w:spacing w:after="288" w:line="240" w:lineRule="auto"/>
        <w:ind w:left="142"/>
        <w:rPr>
          <w:rFonts w:eastAsia="Times New Roman" w:cs="Times New Roman"/>
          <w:szCs w:val="24"/>
        </w:rPr>
      </w:pPr>
      <w:r w:rsidRPr="00E458FA">
        <w:rPr>
          <w:rFonts w:eastAsia="Times New Roman" w:cs="Times New Roman"/>
          <w:szCs w:val="24"/>
        </w:rPr>
        <w:t xml:space="preserve">    </w:t>
      </w:r>
      <w:sdt>
        <w:sdtPr>
          <w:rPr>
            <w:rFonts w:ascii="MS Gothic" w:eastAsia="MS Gothic" w:hAnsi="MS Gothic" w:cs="Times New Roman"/>
            <w:szCs w:val="24"/>
          </w:rPr>
          <w:id w:val="-1743702721"/>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Yes</w:t>
      </w:r>
      <w:r w:rsidRPr="00E458FA">
        <w:rPr>
          <w:rFonts w:eastAsia="Times New Roman" w:cs="Times New Roman"/>
          <w:szCs w:val="24"/>
        </w:rPr>
        <w:tab/>
      </w:r>
      <w:r w:rsidRPr="00E458FA">
        <w:rPr>
          <w:rFonts w:eastAsia="Times New Roman" w:cs="Times New Roman"/>
          <w:szCs w:val="24"/>
        </w:rPr>
        <w:tab/>
      </w:r>
      <w:sdt>
        <w:sdtPr>
          <w:rPr>
            <w:rFonts w:ascii="MS Gothic" w:eastAsia="MS Gothic" w:hAnsi="MS Gothic" w:cs="Times New Roman"/>
            <w:szCs w:val="24"/>
          </w:rPr>
          <w:id w:val="-98027560"/>
        </w:sdtPr>
        <w:sdtEndPr/>
        <w:sdtContent>
          <w:r w:rsidR="0041183F">
            <w:rPr>
              <w:rFonts w:ascii="MS Gothic" w:eastAsia="MS Gothic" w:hAnsi="MS Gothic" w:cs="Times New Roman" w:hint="eastAsia"/>
              <w:szCs w:val="24"/>
            </w:rPr>
            <w:t>☒</w:t>
          </w:r>
        </w:sdtContent>
      </w:sdt>
      <w:r w:rsidRPr="00E458FA">
        <w:rPr>
          <w:rFonts w:eastAsia="Times New Roman" w:cs="Times New Roman"/>
          <w:szCs w:val="24"/>
        </w:rPr>
        <w:t xml:space="preserve"> 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ascii="MS Gothic" w:eastAsia="MS Gothic" w:hAnsi="MS Gothic" w:cs="Times New Roman"/>
            <w:szCs w:val="24"/>
          </w:rPr>
          <w:id w:val="-1141418866"/>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w:t>
      </w:r>
      <w:proofErr w:type="gramStart"/>
      <w:r w:rsidRPr="00E458FA">
        <w:rPr>
          <w:rFonts w:eastAsia="Times New Roman" w:cs="Times New Roman"/>
          <w:szCs w:val="24"/>
        </w:rPr>
        <w:t>Not</w:t>
      </w:r>
      <w:proofErr w:type="gramEnd"/>
      <w:r w:rsidRPr="00E458FA">
        <w:rPr>
          <w:rFonts w:eastAsia="Times New Roman" w:cs="Times New Roman"/>
          <w:szCs w:val="24"/>
        </w:rPr>
        <w:t xml:space="preserve"> sure</w:t>
      </w:r>
    </w:p>
    <w:p w14:paraId="4342DCE2" w14:textId="77777777"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Please give reasons for your answer.</w:t>
      </w:r>
    </w:p>
    <w:p w14:paraId="7720B58C" w14:textId="77777777" w:rsidR="00E458FA" w:rsidRPr="00623CC2" w:rsidRDefault="007A46F6" w:rsidP="00A93226">
      <w:pPr>
        <w:spacing w:after="288" w:line="240" w:lineRule="auto"/>
        <w:ind w:left="142"/>
        <w:rPr>
          <w:rFonts w:asciiTheme="minorHAnsi" w:eastAsia="Times New Roman" w:hAnsiTheme="minorHAnsi" w:cs="Arial"/>
          <w:szCs w:val="24"/>
        </w:rPr>
      </w:pPr>
      <w:r w:rsidRPr="00623CC2">
        <w:rPr>
          <w:rFonts w:asciiTheme="minorHAnsi" w:eastAsia="Times New Roman" w:hAnsiTheme="minorHAnsi" w:cs="Arial"/>
          <w:szCs w:val="24"/>
        </w:rPr>
        <w:t>We are surprised, given National Audit Office investigations and QAA ‘</w:t>
      </w:r>
      <w:r w:rsidR="00ED4099" w:rsidRPr="00623CC2">
        <w:rPr>
          <w:rFonts w:asciiTheme="minorHAnsi" w:eastAsia="Times New Roman" w:hAnsiTheme="minorHAnsi" w:cs="Arial"/>
          <w:szCs w:val="24"/>
        </w:rPr>
        <w:t>Concerns Procedure’</w:t>
      </w:r>
      <w:r w:rsidRPr="00623CC2">
        <w:rPr>
          <w:rFonts w:asciiTheme="minorHAnsi" w:eastAsia="Times New Roman" w:hAnsiTheme="minorHAnsi" w:cs="Arial"/>
          <w:szCs w:val="24"/>
        </w:rPr>
        <w:t xml:space="preserve">, that there is any suggestion that it be made ‘easier’ to obtain degree-awarding powers. It is </w:t>
      </w:r>
      <w:r w:rsidR="00623CC2" w:rsidRPr="00623CC2">
        <w:rPr>
          <w:rFonts w:asciiTheme="minorHAnsi" w:eastAsia="Times New Roman" w:hAnsiTheme="minorHAnsi" w:cs="Arial"/>
          <w:szCs w:val="24"/>
        </w:rPr>
        <w:t xml:space="preserve">particularly </w:t>
      </w:r>
      <w:r w:rsidRPr="00623CC2">
        <w:rPr>
          <w:rFonts w:asciiTheme="minorHAnsi" w:eastAsia="Times New Roman" w:hAnsiTheme="minorHAnsi" w:cs="Arial"/>
          <w:szCs w:val="24"/>
        </w:rPr>
        <w:t xml:space="preserve">worrying that an untested provider might set up overseas in a discipline </w:t>
      </w:r>
      <w:r w:rsidR="00623CC2" w:rsidRPr="00623CC2">
        <w:rPr>
          <w:rFonts w:asciiTheme="minorHAnsi" w:eastAsia="Times New Roman" w:hAnsiTheme="minorHAnsi" w:cs="Arial"/>
          <w:szCs w:val="24"/>
        </w:rPr>
        <w:t>in</w:t>
      </w:r>
      <w:r w:rsidRPr="00623CC2">
        <w:rPr>
          <w:rFonts w:asciiTheme="minorHAnsi" w:eastAsia="Times New Roman" w:hAnsiTheme="minorHAnsi" w:cs="Arial"/>
          <w:szCs w:val="24"/>
        </w:rPr>
        <w:t xml:space="preserve"> which they have no experience </w:t>
      </w:r>
      <w:r w:rsidR="00623CC2" w:rsidRPr="00623CC2">
        <w:rPr>
          <w:rFonts w:asciiTheme="minorHAnsi" w:eastAsia="Times New Roman" w:hAnsiTheme="minorHAnsi" w:cs="Arial"/>
          <w:szCs w:val="24"/>
        </w:rPr>
        <w:t xml:space="preserve">and </w:t>
      </w:r>
      <w:r w:rsidRPr="00623CC2">
        <w:rPr>
          <w:rFonts w:asciiTheme="minorHAnsi" w:eastAsia="Times New Roman" w:hAnsiTheme="minorHAnsi" w:cs="Arial"/>
          <w:szCs w:val="24"/>
        </w:rPr>
        <w:t>with limited quality assurance expertise</w:t>
      </w:r>
      <w:r w:rsidR="00623CC2" w:rsidRPr="00623CC2">
        <w:rPr>
          <w:rFonts w:asciiTheme="minorHAnsi" w:eastAsia="Times New Roman" w:hAnsiTheme="minorHAnsi" w:cs="Arial"/>
          <w:szCs w:val="24"/>
        </w:rPr>
        <w:t>,</w:t>
      </w:r>
      <w:r w:rsidRPr="00623CC2">
        <w:rPr>
          <w:rFonts w:asciiTheme="minorHAnsi" w:eastAsia="Times New Roman" w:hAnsiTheme="minorHAnsi" w:cs="Arial"/>
          <w:szCs w:val="24"/>
        </w:rPr>
        <w:t xml:space="preserve"> thus potentially damaging irrevocably the reputation of UK HE. </w:t>
      </w:r>
    </w:p>
    <w:p w14:paraId="3CE1A7D5" w14:textId="77777777" w:rsidR="00E458FA" w:rsidRPr="00623CC2" w:rsidRDefault="007A46F6" w:rsidP="00556797">
      <w:pPr>
        <w:spacing w:after="288" w:line="240" w:lineRule="auto"/>
        <w:ind w:left="142"/>
        <w:rPr>
          <w:rFonts w:eastAsia="Times New Roman" w:cs="Arial"/>
          <w:szCs w:val="24"/>
        </w:rPr>
      </w:pPr>
      <w:r w:rsidRPr="00623CC2">
        <w:rPr>
          <w:rFonts w:asciiTheme="minorHAnsi" w:eastAsia="Times New Roman" w:hAnsiTheme="minorHAnsi" w:cs="Arial"/>
          <w:szCs w:val="24"/>
        </w:rPr>
        <w:t xml:space="preserve">It is also of concern that a ‘pop-up’ university may potentially damage the future employability of students who have studied there. With the former CNAA, its records were passed to the Open University Validation Service. Any student who has misplaced their certificate or who needs a transcript is able to apply to the OUVS for a replacement. It is unclear as to how similar arrangements might be made </w:t>
      </w:r>
      <w:r w:rsidR="008A56BB" w:rsidRPr="00623CC2">
        <w:rPr>
          <w:rFonts w:asciiTheme="minorHAnsi" w:eastAsia="Times New Roman" w:hAnsiTheme="minorHAnsi" w:cs="Arial"/>
          <w:szCs w:val="24"/>
        </w:rPr>
        <w:t>for a myriad of providers who may eventually fail.</w:t>
      </w:r>
    </w:p>
    <w:p w14:paraId="37F0667A" w14:textId="77777777" w:rsidR="00E458FA" w:rsidRPr="00E458FA" w:rsidRDefault="00E458FA" w:rsidP="00E458FA">
      <w:pPr>
        <w:numPr>
          <w:ilvl w:val="0"/>
          <w:numId w:val="22"/>
        </w:numPr>
        <w:tabs>
          <w:tab w:val="left" w:pos="567"/>
        </w:tabs>
        <w:spacing w:after="288" w:line="240" w:lineRule="auto"/>
        <w:ind w:right="11"/>
        <w:rPr>
          <w:rFonts w:eastAsia="Times New Roman" w:cs="Arial"/>
          <w:szCs w:val="24"/>
        </w:rPr>
      </w:pPr>
      <w:r w:rsidRPr="00E458FA">
        <w:rPr>
          <w:rFonts w:eastAsia="Times New Roman" w:cs="Arial"/>
          <w:szCs w:val="24"/>
        </w:rPr>
        <w:t>What are your views on the options identified for validation of courses delivered b</w:t>
      </w:r>
      <w:r w:rsidR="00000F71">
        <w:rPr>
          <w:rFonts w:eastAsia="Times New Roman" w:cs="Arial"/>
          <w:szCs w:val="24"/>
        </w:rPr>
        <w:t>y providers who do not hold DAPs</w:t>
      </w:r>
      <w:r w:rsidRPr="00E458FA">
        <w:rPr>
          <w:rFonts w:eastAsia="Times New Roman" w:cs="Arial"/>
          <w:szCs w:val="24"/>
        </w:rPr>
        <w:t xml:space="preserve">? </w:t>
      </w:r>
    </w:p>
    <w:p w14:paraId="1C9836D5" w14:textId="77777777" w:rsidR="00E458FA" w:rsidRPr="007765A7" w:rsidRDefault="0041183F" w:rsidP="00A93226">
      <w:pPr>
        <w:spacing w:after="288" w:line="240" w:lineRule="auto"/>
        <w:ind w:left="142"/>
        <w:rPr>
          <w:rFonts w:asciiTheme="minorHAnsi" w:eastAsia="Times New Roman" w:hAnsiTheme="minorHAnsi" w:cs="Arial"/>
          <w:szCs w:val="24"/>
        </w:rPr>
      </w:pPr>
      <w:r w:rsidRPr="007765A7">
        <w:rPr>
          <w:rFonts w:asciiTheme="minorHAnsi" w:eastAsia="Times New Roman" w:hAnsiTheme="minorHAnsi" w:cs="Arial"/>
          <w:szCs w:val="24"/>
        </w:rPr>
        <w:t>There would seem to be something of a misunderstanding in this regard; further education colleges and other providers are not simply ‘buying’ the degree awarding powers of a university, they are ‘buying’ into a whole support mechanism. A college offering, say, one Foundation degree for ten or so students, does not have the economies of scale to warrant the infrastructure a university has. Universities provide not inconsiderable support to their partners</w:t>
      </w:r>
      <w:r w:rsidR="00DA5946" w:rsidRPr="007765A7">
        <w:rPr>
          <w:rFonts w:asciiTheme="minorHAnsi" w:eastAsia="Times New Roman" w:hAnsiTheme="minorHAnsi" w:cs="Arial"/>
          <w:szCs w:val="24"/>
        </w:rPr>
        <w:t xml:space="preserve"> – expertise in the discipline, in teaching, in quality. Staff development opportunities are made available, as are other opportunities. </w:t>
      </w:r>
      <w:r w:rsidR="00661AC5" w:rsidRPr="007765A7">
        <w:rPr>
          <w:rFonts w:asciiTheme="minorHAnsi" w:eastAsia="Times New Roman" w:hAnsiTheme="minorHAnsi" w:cs="Arial"/>
          <w:szCs w:val="24"/>
        </w:rPr>
        <w:t xml:space="preserve">Universities often manage student records and make relevant returns. There is some access to electronic and other resources available. </w:t>
      </w:r>
    </w:p>
    <w:p w14:paraId="167C3B0F" w14:textId="77777777" w:rsidR="00E458FA" w:rsidRPr="007765A7" w:rsidRDefault="00AE7B4A" w:rsidP="00AE7B4A">
      <w:pPr>
        <w:pStyle w:val="CommentText"/>
        <w:ind w:firstLine="142"/>
        <w:rPr>
          <w:rFonts w:asciiTheme="minorHAnsi" w:eastAsia="Times New Roman" w:hAnsiTheme="minorHAnsi" w:cs="Arial"/>
          <w:sz w:val="24"/>
          <w:szCs w:val="24"/>
        </w:rPr>
      </w:pPr>
      <w:r w:rsidRPr="007765A7">
        <w:rPr>
          <w:rFonts w:asciiTheme="minorHAnsi" w:eastAsia="Times New Roman" w:hAnsiTheme="minorHAnsi" w:cs="Arial"/>
          <w:sz w:val="24"/>
          <w:szCs w:val="24"/>
        </w:rPr>
        <w:lastRenderedPageBreak/>
        <w:t>With regards to the options identified in paragraph 24 we would comment that;</w:t>
      </w:r>
    </w:p>
    <w:p w14:paraId="36F27256" w14:textId="77777777" w:rsidR="00AE7B4A" w:rsidRPr="007765A7" w:rsidRDefault="00AE7B4A" w:rsidP="00D26546">
      <w:pPr>
        <w:pStyle w:val="ListParagraph"/>
        <w:numPr>
          <w:ilvl w:val="3"/>
          <w:numId w:val="29"/>
        </w:numPr>
        <w:ind w:left="709" w:hanging="567"/>
        <w:rPr>
          <w:rFonts w:ascii="Arial" w:hAnsi="Arial"/>
          <w:sz w:val="24"/>
          <w:szCs w:val="24"/>
        </w:rPr>
      </w:pPr>
      <w:proofErr w:type="spellStart"/>
      <w:r w:rsidRPr="007765A7">
        <w:rPr>
          <w:rFonts w:eastAsia="Times New Roman" w:cs="Arial"/>
          <w:sz w:val="24"/>
          <w:szCs w:val="24"/>
        </w:rPr>
        <w:t>OfS</w:t>
      </w:r>
      <w:proofErr w:type="spellEnd"/>
      <w:r w:rsidRPr="007765A7">
        <w:rPr>
          <w:rFonts w:eastAsia="Times New Roman" w:cs="Arial"/>
          <w:sz w:val="24"/>
          <w:szCs w:val="24"/>
        </w:rPr>
        <w:t xml:space="preserve"> as validator – </w:t>
      </w:r>
      <w:r w:rsidR="00623CC2" w:rsidRPr="007765A7">
        <w:rPr>
          <w:rFonts w:eastAsia="Times New Roman" w:cs="Arial"/>
          <w:sz w:val="24"/>
          <w:szCs w:val="24"/>
        </w:rPr>
        <w:t xml:space="preserve">we oppose this; there is a conflict of interest in this proposal.  The validator should be independent of Government and funding </w:t>
      </w:r>
      <w:r w:rsidRPr="007765A7">
        <w:rPr>
          <w:rFonts w:eastAsia="Times New Roman" w:cs="Arial"/>
          <w:sz w:val="24"/>
          <w:szCs w:val="24"/>
        </w:rPr>
        <w:t>bod</w:t>
      </w:r>
      <w:r w:rsidR="00623CC2" w:rsidRPr="007765A7">
        <w:rPr>
          <w:rFonts w:eastAsia="Times New Roman" w:cs="Arial"/>
          <w:sz w:val="24"/>
          <w:szCs w:val="24"/>
        </w:rPr>
        <w:t>ies</w:t>
      </w:r>
      <w:r w:rsidRPr="007765A7">
        <w:rPr>
          <w:rFonts w:eastAsia="Times New Roman" w:cs="Arial"/>
          <w:sz w:val="24"/>
          <w:szCs w:val="24"/>
        </w:rPr>
        <w:t xml:space="preserve">. </w:t>
      </w:r>
      <w:r w:rsidR="00623CC2" w:rsidRPr="007765A7">
        <w:rPr>
          <w:rFonts w:eastAsia="Times New Roman" w:cs="Arial"/>
          <w:sz w:val="24"/>
          <w:szCs w:val="24"/>
        </w:rPr>
        <w:t xml:space="preserve">In addition, in practical terms, </w:t>
      </w:r>
      <w:proofErr w:type="spellStart"/>
      <w:r w:rsidR="00623CC2" w:rsidRPr="007765A7">
        <w:rPr>
          <w:rFonts w:eastAsia="Times New Roman" w:cs="Arial"/>
          <w:sz w:val="24"/>
          <w:szCs w:val="24"/>
        </w:rPr>
        <w:t>OfS</w:t>
      </w:r>
      <w:proofErr w:type="spellEnd"/>
      <w:r w:rsidRPr="007765A7">
        <w:rPr>
          <w:rFonts w:eastAsia="Times New Roman" w:cs="Arial"/>
          <w:sz w:val="24"/>
          <w:szCs w:val="24"/>
        </w:rPr>
        <w:t xml:space="preserve"> would need to acquire academic and </w:t>
      </w:r>
      <w:proofErr w:type="gramStart"/>
      <w:r w:rsidRPr="007765A7">
        <w:rPr>
          <w:rFonts w:eastAsia="Times New Roman" w:cs="Arial"/>
          <w:sz w:val="24"/>
          <w:szCs w:val="24"/>
        </w:rPr>
        <w:t>HE</w:t>
      </w:r>
      <w:proofErr w:type="gramEnd"/>
      <w:r w:rsidRPr="007765A7">
        <w:rPr>
          <w:rFonts w:eastAsia="Times New Roman" w:cs="Arial"/>
          <w:sz w:val="24"/>
          <w:szCs w:val="24"/>
        </w:rPr>
        <w:t xml:space="preserve"> administrative expertise to provide the necessary support</w:t>
      </w:r>
      <w:r w:rsidR="00623CC2" w:rsidRPr="007765A7">
        <w:rPr>
          <w:rFonts w:eastAsia="Times New Roman" w:cs="Arial"/>
          <w:sz w:val="24"/>
          <w:szCs w:val="24"/>
        </w:rPr>
        <w:t xml:space="preserve"> and this is unrealistic</w:t>
      </w:r>
      <w:r w:rsidRPr="007765A7">
        <w:rPr>
          <w:rFonts w:eastAsia="Times New Roman" w:cs="Arial"/>
          <w:sz w:val="24"/>
          <w:szCs w:val="24"/>
        </w:rPr>
        <w:t xml:space="preserve">.  </w:t>
      </w:r>
      <w:r w:rsidR="00623CC2" w:rsidRPr="007765A7">
        <w:rPr>
          <w:rFonts w:eastAsia="Times New Roman" w:cs="Arial"/>
          <w:sz w:val="24"/>
          <w:szCs w:val="24"/>
        </w:rPr>
        <w:t>It</w:t>
      </w:r>
      <w:r w:rsidR="00D26546" w:rsidRPr="007765A7">
        <w:rPr>
          <w:rFonts w:eastAsia="Times New Roman" w:cs="Arial"/>
          <w:sz w:val="24"/>
          <w:szCs w:val="24"/>
        </w:rPr>
        <w:t xml:space="preserve"> c</w:t>
      </w:r>
      <w:r w:rsidRPr="007765A7">
        <w:rPr>
          <w:rFonts w:eastAsia="Times New Roman" w:cs="Arial"/>
          <w:sz w:val="24"/>
          <w:szCs w:val="24"/>
        </w:rPr>
        <w:t xml:space="preserve">ould </w:t>
      </w:r>
      <w:r w:rsidR="00623CC2" w:rsidRPr="007765A7">
        <w:rPr>
          <w:rFonts w:eastAsia="Times New Roman" w:cs="Arial"/>
          <w:sz w:val="24"/>
          <w:szCs w:val="24"/>
        </w:rPr>
        <w:t xml:space="preserve">also </w:t>
      </w:r>
      <w:r w:rsidRPr="007765A7">
        <w:rPr>
          <w:rFonts w:eastAsia="Times New Roman" w:cs="Arial"/>
          <w:sz w:val="24"/>
          <w:szCs w:val="24"/>
        </w:rPr>
        <w:t>be anti-competitive</w:t>
      </w:r>
      <w:r w:rsidR="00D26546" w:rsidRPr="007765A7">
        <w:rPr>
          <w:rFonts w:eastAsia="Times New Roman" w:cs="Arial"/>
          <w:sz w:val="24"/>
          <w:szCs w:val="24"/>
        </w:rPr>
        <w:t xml:space="preserve">: </w:t>
      </w:r>
      <w:r w:rsidR="00623CC2" w:rsidRPr="007765A7">
        <w:rPr>
          <w:rFonts w:eastAsia="Times New Roman" w:cs="Arial"/>
          <w:sz w:val="24"/>
          <w:szCs w:val="24"/>
        </w:rPr>
        <w:t>c</w:t>
      </w:r>
      <w:r w:rsidR="00D26546" w:rsidRPr="007765A7">
        <w:rPr>
          <w:sz w:val="24"/>
          <w:szCs w:val="24"/>
        </w:rPr>
        <w:t>urrently</w:t>
      </w:r>
      <w:r w:rsidR="00623CC2" w:rsidRPr="007765A7">
        <w:rPr>
          <w:sz w:val="24"/>
          <w:szCs w:val="24"/>
        </w:rPr>
        <w:t>,</w:t>
      </w:r>
      <w:r w:rsidR="00D26546" w:rsidRPr="007765A7">
        <w:rPr>
          <w:sz w:val="24"/>
          <w:szCs w:val="24"/>
        </w:rPr>
        <w:t xml:space="preserve"> Alternative Providers without DAPs deliver programmes of study on behalf of the validating partner and the students receive an award from the validating university.  If controls are weakened this may </w:t>
      </w:r>
      <w:r w:rsidR="00623CC2" w:rsidRPr="007765A7">
        <w:rPr>
          <w:sz w:val="24"/>
          <w:szCs w:val="24"/>
        </w:rPr>
        <w:t xml:space="preserve">deter </w:t>
      </w:r>
      <w:r w:rsidR="00D26546" w:rsidRPr="007765A7">
        <w:rPr>
          <w:sz w:val="24"/>
          <w:szCs w:val="24"/>
        </w:rPr>
        <w:t xml:space="preserve">awarding bodies </w:t>
      </w:r>
      <w:r w:rsidR="00623CC2" w:rsidRPr="007765A7">
        <w:rPr>
          <w:sz w:val="24"/>
          <w:szCs w:val="24"/>
        </w:rPr>
        <w:t xml:space="preserve">from </w:t>
      </w:r>
      <w:r w:rsidR="00D26546" w:rsidRPr="007765A7">
        <w:rPr>
          <w:sz w:val="24"/>
          <w:szCs w:val="24"/>
        </w:rPr>
        <w:t>entering into validat</w:t>
      </w:r>
      <w:r w:rsidR="00623CC2" w:rsidRPr="007765A7">
        <w:rPr>
          <w:sz w:val="24"/>
          <w:szCs w:val="24"/>
        </w:rPr>
        <w:t>ion</w:t>
      </w:r>
      <w:r w:rsidR="00D26546" w:rsidRPr="007765A7">
        <w:rPr>
          <w:sz w:val="24"/>
          <w:szCs w:val="24"/>
        </w:rPr>
        <w:t xml:space="preserve"> arrangements.  The proposal to introduce </w:t>
      </w:r>
      <w:proofErr w:type="spellStart"/>
      <w:r w:rsidR="00D26546" w:rsidRPr="007765A7">
        <w:rPr>
          <w:sz w:val="24"/>
          <w:szCs w:val="24"/>
        </w:rPr>
        <w:t>OfS</w:t>
      </w:r>
      <w:proofErr w:type="spellEnd"/>
      <w:r w:rsidR="00D26546" w:rsidRPr="007765A7">
        <w:rPr>
          <w:sz w:val="24"/>
          <w:szCs w:val="24"/>
        </w:rPr>
        <w:t xml:space="preserve"> or </w:t>
      </w:r>
      <w:r w:rsidR="00CB4EC7">
        <w:rPr>
          <w:sz w:val="24"/>
          <w:szCs w:val="24"/>
        </w:rPr>
        <w:t>ot</w:t>
      </w:r>
      <w:r w:rsidR="00D26546" w:rsidRPr="007765A7">
        <w:rPr>
          <w:sz w:val="24"/>
          <w:szCs w:val="24"/>
        </w:rPr>
        <w:t>her</w:t>
      </w:r>
      <w:r w:rsidR="00CB4EC7">
        <w:rPr>
          <w:sz w:val="24"/>
          <w:szCs w:val="24"/>
        </w:rPr>
        <w:t>s</w:t>
      </w:r>
      <w:r w:rsidR="00D26546" w:rsidRPr="007765A7">
        <w:rPr>
          <w:sz w:val="24"/>
          <w:szCs w:val="24"/>
        </w:rPr>
        <w:t xml:space="preserve"> as validating bod</w:t>
      </w:r>
      <w:r w:rsidR="00CB4EC7">
        <w:rPr>
          <w:sz w:val="24"/>
          <w:szCs w:val="24"/>
        </w:rPr>
        <w:t>ies</w:t>
      </w:r>
      <w:r w:rsidR="00D26546" w:rsidRPr="007765A7">
        <w:rPr>
          <w:sz w:val="24"/>
          <w:szCs w:val="24"/>
        </w:rPr>
        <w:t xml:space="preserve"> </w:t>
      </w:r>
      <w:r w:rsidR="00CB4EC7">
        <w:rPr>
          <w:sz w:val="24"/>
          <w:szCs w:val="24"/>
        </w:rPr>
        <w:t xml:space="preserve">would </w:t>
      </w:r>
      <w:r w:rsidR="00D26546" w:rsidRPr="007765A7">
        <w:rPr>
          <w:sz w:val="24"/>
          <w:szCs w:val="24"/>
        </w:rPr>
        <w:t>create a two tier system and is likely to impact negatively on the AP sector.</w:t>
      </w:r>
    </w:p>
    <w:p w14:paraId="0E191673" w14:textId="77777777" w:rsidR="00AE7B4A" w:rsidRPr="007765A7" w:rsidRDefault="00AE7B4A" w:rsidP="00AE7B4A">
      <w:pPr>
        <w:pStyle w:val="CommentText"/>
        <w:numPr>
          <w:ilvl w:val="0"/>
          <w:numId w:val="29"/>
        </w:numPr>
        <w:rPr>
          <w:rFonts w:asciiTheme="minorHAnsi" w:eastAsia="Times New Roman" w:hAnsiTheme="minorHAnsi" w:cs="Arial"/>
          <w:sz w:val="24"/>
          <w:szCs w:val="24"/>
        </w:rPr>
      </w:pPr>
      <w:r w:rsidRPr="007765A7">
        <w:rPr>
          <w:rFonts w:asciiTheme="minorHAnsi" w:eastAsia="Times New Roman" w:hAnsiTheme="minorHAnsi" w:cs="Arial"/>
          <w:sz w:val="24"/>
          <w:szCs w:val="24"/>
        </w:rPr>
        <w:t xml:space="preserve">DAPs to non-teaching bodies – </w:t>
      </w:r>
      <w:r w:rsidR="007765A7" w:rsidRPr="007765A7">
        <w:rPr>
          <w:rFonts w:asciiTheme="minorHAnsi" w:eastAsia="Times New Roman" w:hAnsiTheme="minorHAnsi" w:cs="Arial"/>
          <w:sz w:val="24"/>
          <w:szCs w:val="24"/>
        </w:rPr>
        <w:t xml:space="preserve">we also oppose this, </w:t>
      </w:r>
      <w:r w:rsidRPr="007765A7">
        <w:rPr>
          <w:rFonts w:asciiTheme="minorHAnsi" w:eastAsia="Times New Roman" w:hAnsiTheme="minorHAnsi" w:cs="Arial"/>
          <w:sz w:val="24"/>
          <w:szCs w:val="24"/>
        </w:rPr>
        <w:t xml:space="preserve">on the basis that </w:t>
      </w:r>
      <w:r w:rsidR="007765A7" w:rsidRPr="007765A7">
        <w:rPr>
          <w:rFonts w:asciiTheme="minorHAnsi" w:eastAsia="Times New Roman" w:hAnsiTheme="minorHAnsi" w:cs="Arial"/>
          <w:sz w:val="24"/>
          <w:szCs w:val="24"/>
        </w:rPr>
        <w:t>such organisations would be unable to</w:t>
      </w:r>
      <w:r w:rsidRPr="007765A7">
        <w:rPr>
          <w:rFonts w:asciiTheme="minorHAnsi" w:eastAsia="Times New Roman" w:hAnsiTheme="minorHAnsi" w:cs="Arial"/>
          <w:sz w:val="24"/>
          <w:szCs w:val="24"/>
        </w:rPr>
        <w:t xml:space="preserve"> provide the necessary support for their partners and </w:t>
      </w:r>
      <w:r w:rsidR="007765A7" w:rsidRPr="007765A7">
        <w:rPr>
          <w:rFonts w:asciiTheme="minorHAnsi" w:eastAsia="Times New Roman" w:hAnsiTheme="minorHAnsi" w:cs="Arial"/>
          <w:sz w:val="24"/>
          <w:szCs w:val="24"/>
        </w:rPr>
        <w:t>the</w:t>
      </w:r>
      <w:r w:rsidRPr="007765A7">
        <w:rPr>
          <w:rFonts w:asciiTheme="minorHAnsi" w:eastAsia="Times New Roman" w:hAnsiTheme="minorHAnsi" w:cs="Arial"/>
          <w:sz w:val="24"/>
          <w:szCs w:val="24"/>
        </w:rPr>
        <w:t xml:space="preserve"> risk they </w:t>
      </w:r>
      <w:r w:rsidR="007765A7" w:rsidRPr="007765A7">
        <w:rPr>
          <w:rFonts w:asciiTheme="minorHAnsi" w:eastAsia="Times New Roman" w:hAnsiTheme="minorHAnsi" w:cs="Arial"/>
          <w:sz w:val="24"/>
          <w:szCs w:val="24"/>
        </w:rPr>
        <w:t>would lack</w:t>
      </w:r>
      <w:r w:rsidRPr="007765A7">
        <w:rPr>
          <w:rFonts w:asciiTheme="minorHAnsi" w:eastAsia="Times New Roman" w:hAnsiTheme="minorHAnsi" w:cs="Arial"/>
          <w:sz w:val="24"/>
          <w:szCs w:val="24"/>
        </w:rPr>
        <w:t xml:space="preserve"> the expertise to maintain academic standards successfully</w:t>
      </w:r>
      <w:r w:rsidR="007765A7" w:rsidRPr="007765A7">
        <w:rPr>
          <w:rFonts w:asciiTheme="minorHAnsi" w:eastAsia="Times New Roman" w:hAnsiTheme="minorHAnsi" w:cs="Arial"/>
          <w:sz w:val="24"/>
          <w:szCs w:val="24"/>
        </w:rPr>
        <w:t>.</w:t>
      </w:r>
      <w:r w:rsidRPr="007765A7">
        <w:rPr>
          <w:rFonts w:asciiTheme="minorHAnsi" w:eastAsia="Times New Roman" w:hAnsiTheme="minorHAnsi" w:cs="Arial"/>
          <w:sz w:val="24"/>
          <w:szCs w:val="24"/>
        </w:rPr>
        <w:t xml:space="preserve"> </w:t>
      </w:r>
    </w:p>
    <w:p w14:paraId="737EFF02" w14:textId="77777777" w:rsidR="00AE7B4A" w:rsidRPr="007765A7" w:rsidRDefault="00AE7B4A" w:rsidP="00AE7B4A">
      <w:pPr>
        <w:pStyle w:val="CommentText"/>
        <w:numPr>
          <w:ilvl w:val="0"/>
          <w:numId w:val="29"/>
        </w:numPr>
        <w:rPr>
          <w:rFonts w:asciiTheme="minorHAnsi" w:eastAsia="Times New Roman" w:hAnsiTheme="minorHAnsi" w:cs="Arial"/>
          <w:sz w:val="24"/>
          <w:szCs w:val="24"/>
        </w:rPr>
      </w:pPr>
      <w:r w:rsidRPr="007765A7">
        <w:rPr>
          <w:rFonts w:asciiTheme="minorHAnsi" w:eastAsia="Times New Roman" w:hAnsiTheme="minorHAnsi" w:cs="Arial"/>
          <w:sz w:val="24"/>
          <w:szCs w:val="24"/>
        </w:rPr>
        <w:t>Government oversight</w:t>
      </w:r>
      <w:r w:rsidR="007765A7" w:rsidRPr="007765A7">
        <w:rPr>
          <w:rFonts w:asciiTheme="minorHAnsi" w:eastAsia="Times New Roman" w:hAnsiTheme="minorHAnsi" w:cs="Arial"/>
          <w:sz w:val="24"/>
          <w:szCs w:val="24"/>
        </w:rPr>
        <w:t xml:space="preserve"> of provider with DAPs</w:t>
      </w:r>
      <w:r w:rsidRPr="007765A7">
        <w:rPr>
          <w:rFonts w:asciiTheme="minorHAnsi" w:eastAsia="Times New Roman" w:hAnsiTheme="minorHAnsi" w:cs="Arial"/>
          <w:sz w:val="24"/>
          <w:szCs w:val="24"/>
        </w:rPr>
        <w:t xml:space="preserve"> </w:t>
      </w:r>
      <w:r w:rsidR="007765A7" w:rsidRPr="007765A7">
        <w:rPr>
          <w:rFonts w:asciiTheme="minorHAnsi" w:eastAsia="Times New Roman" w:hAnsiTheme="minorHAnsi" w:cs="Arial"/>
          <w:sz w:val="24"/>
          <w:szCs w:val="24"/>
        </w:rPr>
        <w:t>–</w:t>
      </w:r>
      <w:r w:rsidRPr="007765A7">
        <w:rPr>
          <w:rFonts w:asciiTheme="minorHAnsi" w:eastAsia="Times New Roman" w:hAnsiTheme="minorHAnsi" w:cs="Arial"/>
          <w:sz w:val="24"/>
          <w:szCs w:val="24"/>
        </w:rPr>
        <w:t xml:space="preserve"> </w:t>
      </w:r>
      <w:r w:rsidR="007765A7" w:rsidRPr="007765A7">
        <w:rPr>
          <w:rFonts w:asciiTheme="minorHAnsi" w:eastAsia="Times New Roman" w:hAnsiTheme="minorHAnsi" w:cs="Arial"/>
          <w:sz w:val="24"/>
          <w:szCs w:val="24"/>
        </w:rPr>
        <w:t xml:space="preserve">this would be </w:t>
      </w:r>
      <w:r w:rsidRPr="007765A7">
        <w:rPr>
          <w:rFonts w:asciiTheme="minorHAnsi" w:eastAsia="Times New Roman" w:hAnsiTheme="minorHAnsi" w:cs="Arial"/>
          <w:sz w:val="24"/>
          <w:szCs w:val="24"/>
        </w:rPr>
        <w:t>possible</w:t>
      </w:r>
      <w:r w:rsidR="007765A7" w:rsidRPr="007765A7">
        <w:rPr>
          <w:rFonts w:asciiTheme="minorHAnsi" w:eastAsia="Times New Roman" w:hAnsiTheme="minorHAnsi" w:cs="Arial"/>
          <w:sz w:val="24"/>
          <w:szCs w:val="24"/>
        </w:rPr>
        <w:t xml:space="preserve">, but validating institutions would need to be able to reserve the right to </w:t>
      </w:r>
      <w:r w:rsidRPr="007765A7">
        <w:rPr>
          <w:rFonts w:asciiTheme="minorHAnsi" w:eastAsia="Times New Roman" w:hAnsiTheme="minorHAnsi" w:cs="Arial"/>
          <w:sz w:val="24"/>
          <w:szCs w:val="24"/>
        </w:rPr>
        <w:t>decline to validate an organisation on quality or business grounds</w:t>
      </w:r>
      <w:r w:rsidR="007765A7" w:rsidRPr="007765A7">
        <w:rPr>
          <w:rFonts w:asciiTheme="minorHAnsi" w:eastAsia="Times New Roman" w:hAnsiTheme="minorHAnsi" w:cs="Arial"/>
          <w:sz w:val="24"/>
          <w:szCs w:val="24"/>
        </w:rPr>
        <w:t>.</w:t>
      </w:r>
    </w:p>
    <w:p w14:paraId="6A09E9A2" w14:textId="77777777" w:rsidR="00AE7B4A" w:rsidRDefault="00AE7B4A" w:rsidP="00E458FA">
      <w:pPr>
        <w:tabs>
          <w:tab w:val="left" w:pos="567"/>
        </w:tabs>
        <w:spacing w:after="288" w:line="240" w:lineRule="auto"/>
        <w:ind w:right="11"/>
        <w:rPr>
          <w:rFonts w:eastAsia="Times New Roman" w:cs="Arial"/>
          <w:szCs w:val="24"/>
        </w:rPr>
      </w:pPr>
    </w:p>
    <w:p w14:paraId="1954DA13" w14:textId="77777777" w:rsidR="00E458FA" w:rsidRPr="00E458FA" w:rsidRDefault="00E458FA" w:rsidP="00E458FA">
      <w:pPr>
        <w:tabs>
          <w:tab w:val="left" w:pos="567"/>
        </w:tabs>
        <w:spacing w:after="288" w:line="240" w:lineRule="auto"/>
        <w:ind w:right="11"/>
        <w:rPr>
          <w:rFonts w:eastAsia="Times New Roman" w:cs="Arial"/>
          <w:szCs w:val="24"/>
        </w:rPr>
      </w:pPr>
      <w:r w:rsidRPr="00E458FA">
        <w:rPr>
          <w:rFonts w:eastAsia="Times New Roman" w:cs="Arial"/>
          <w:szCs w:val="24"/>
        </w:rPr>
        <w:t xml:space="preserve">Question 16: Do you agree with the proposed immediate actions intended to speed up entry?  </w:t>
      </w:r>
    </w:p>
    <w:p w14:paraId="673EC5CB" w14:textId="77777777" w:rsidR="00E458FA" w:rsidRPr="00E458FA" w:rsidRDefault="00E458FA" w:rsidP="00E458FA">
      <w:pPr>
        <w:tabs>
          <w:tab w:val="left" w:pos="567"/>
        </w:tabs>
        <w:spacing w:after="288" w:line="240" w:lineRule="auto"/>
        <w:ind w:left="142"/>
        <w:rPr>
          <w:rFonts w:eastAsia="Times New Roman" w:cs="Times New Roman"/>
          <w:szCs w:val="24"/>
        </w:rPr>
      </w:pPr>
      <w:r w:rsidRPr="00E458FA">
        <w:rPr>
          <w:rFonts w:eastAsia="Times New Roman" w:cs="Times New Roman"/>
          <w:szCs w:val="24"/>
        </w:rPr>
        <w:t xml:space="preserve">      </w:t>
      </w:r>
      <w:sdt>
        <w:sdtPr>
          <w:rPr>
            <w:rFonts w:eastAsia="Times New Roman" w:cs="Times New Roman"/>
            <w:szCs w:val="24"/>
          </w:rPr>
          <w:id w:val="-40375466"/>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Yes</w:t>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1378078010"/>
        </w:sdtPr>
        <w:sdtEndPr/>
        <w:sdtContent>
          <w:r w:rsidR="0041183F">
            <w:rPr>
              <w:rFonts w:ascii="MS Gothic" w:eastAsia="MS Gothic" w:hAnsi="MS Gothic" w:cs="Times New Roman" w:hint="eastAsia"/>
              <w:szCs w:val="24"/>
            </w:rPr>
            <w:t>☒</w:t>
          </w:r>
        </w:sdtContent>
      </w:sdt>
      <w:r w:rsidRPr="00E458FA">
        <w:rPr>
          <w:rFonts w:eastAsia="Times New Roman" w:cs="Times New Roman"/>
          <w:szCs w:val="24"/>
        </w:rPr>
        <w:t xml:space="preserve"> 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602231205"/>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w:t>
      </w:r>
      <w:proofErr w:type="gramStart"/>
      <w:r w:rsidRPr="00E458FA">
        <w:rPr>
          <w:rFonts w:eastAsia="Times New Roman" w:cs="Times New Roman"/>
          <w:szCs w:val="24"/>
        </w:rPr>
        <w:t>Not</w:t>
      </w:r>
      <w:proofErr w:type="gramEnd"/>
      <w:r w:rsidRPr="00E458FA">
        <w:rPr>
          <w:rFonts w:eastAsia="Times New Roman" w:cs="Times New Roman"/>
          <w:szCs w:val="24"/>
        </w:rPr>
        <w:t xml:space="preserve"> sure</w:t>
      </w:r>
    </w:p>
    <w:p w14:paraId="6E36F41B" w14:textId="77777777"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Please give reasons for your answer.</w:t>
      </w:r>
    </w:p>
    <w:p w14:paraId="4D3F9736" w14:textId="77777777" w:rsidR="00E458FA" w:rsidRPr="007765A7" w:rsidRDefault="00E03B01" w:rsidP="00E458FA">
      <w:pPr>
        <w:numPr>
          <w:ilvl w:val="1"/>
          <w:numId w:val="0"/>
        </w:numPr>
        <w:spacing w:after="288" w:line="240" w:lineRule="auto"/>
        <w:ind w:left="142"/>
        <w:rPr>
          <w:rFonts w:asciiTheme="minorHAnsi" w:eastAsia="Times New Roman" w:hAnsiTheme="minorHAnsi" w:cs="Arial"/>
          <w:szCs w:val="24"/>
        </w:rPr>
      </w:pPr>
      <w:r w:rsidRPr="007765A7">
        <w:rPr>
          <w:rFonts w:asciiTheme="minorHAnsi" w:eastAsia="Times New Roman" w:hAnsiTheme="minorHAnsi" w:cs="Arial"/>
          <w:szCs w:val="24"/>
        </w:rPr>
        <w:t>We would urge caution in protecting the reputation of UK HE plc.</w:t>
      </w:r>
    </w:p>
    <w:p w14:paraId="1B98BF92" w14:textId="77777777" w:rsidR="00E458FA" w:rsidRPr="00E458FA" w:rsidRDefault="00E458FA" w:rsidP="00E458FA">
      <w:pPr>
        <w:keepNext/>
        <w:spacing w:after="120" w:line="240" w:lineRule="auto"/>
        <w:outlineLvl w:val="2"/>
        <w:rPr>
          <w:rFonts w:eastAsia="Times New Roman" w:cs="Times New Roman"/>
          <w:b/>
          <w:bCs/>
          <w:color w:val="009BBB"/>
          <w:sz w:val="26"/>
          <w:szCs w:val="26"/>
        </w:rPr>
      </w:pPr>
      <w:bookmarkStart w:id="11" w:name="_Toc434412500"/>
      <w:r w:rsidRPr="00E458FA">
        <w:rPr>
          <w:rFonts w:eastAsia="Times New Roman" w:cs="Times New Roman"/>
          <w:b/>
          <w:bCs/>
          <w:color w:val="009BBB"/>
          <w:sz w:val="26"/>
          <w:szCs w:val="26"/>
        </w:rPr>
        <w:t>Provider exit and student protection (Part B: Chapter 2)</w:t>
      </w:r>
      <w:bookmarkEnd w:id="11"/>
    </w:p>
    <w:p w14:paraId="4DFA0C6B" w14:textId="77777777"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Question 17: Do you agree with the proposal to introduce a requirement for all providers to have contingency arrangements to support students in the event that their course cannot be completed?</w:t>
      </w:r>
    </w:p>
    <w:p w14:paraId="0CBB508C" w14:textId="77777777" w:rsidR="00E458FA" w:rsidRPr="00E458FA" w:rsidRDefault="00E458FA" w:rsidP="00E458FA">
      <w:pPr>
        <w:tabs>
          <w:tab w:val="left" w:pos="567"/>
        </w:tabs>
        <w:spacing w:after="288" w:line="240" w:lineRule="auto"/>
        <w:ind w:left="142"/>
        <w:rPr>
          <w:rFonts w:eastAsia="Times New Roman" w:cs="Times New Roman"/>
          <w:szCs w:val="24"/>
        </w:rPr>
      </w:pPr>
      <w:r w:rsidRPr="00E458FA">
        <w:rPr>
          <w:rFonts w:eastAsia="Times New Roman" w:cs="Times New Roman"/>
          <w:szCs w:val="24"/>
        </w:rPr>
        <w:t xml:space="preserve">     </w:t>
      </w:r>
      <w:sdt>
        <w:sdtPr>
          <w:rPr>
            <w:rFonts w:eastAsia="Times New Roman" w:cs="Times New Roman"/>
            <w:szCs w:val="24"/>
          </w:rPr>
          <w:id w:val="1269128739"/>
        </w:sdtPr>
        <w:sdtEndPr/>
        <w:sdtContent>
          <w:r w:rsidR="003A47AF">
            <w:rPr>
              <w:rFonts w:ascii="MS Gothic" w:eastAsia="MS Gothic" w:hAnsi="MS Gothic" w:cs="Times New Roman" w:hint="eastAsia"/>
              <w:szCs w:val="24"/>
            </w:rPr>
            <w:t>☒</w:t>
          </w:r>
        </w:sdtContent>
      </w:sdt>
      <w:r w:rsidRPr="00E458FA">
        <w:rPr>
          <w:rFonts w:eastAsia="Times New Roman" w:cs="Times New Roman"/>
          <w:szCs w:val="24"/>
        </w:rPr>
        <w:t xml:space="preserve"> Yes</w:t>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1161995371"/>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935441191"/>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w:t>
      </w:r>
      <w:proofErr w:type="gramStart"/>
      <w:r w:rsidRPr="00E458FA">
        <w:rPr>
          <w:rFonts w:eastAsia="Times New Roman" w:cs="Times New Roman"/>
          <w:szCs w:val="24"/>
        </w:rPr>
        <w:t>Not</w:t>
      </w:r>
      <w:proofErr w:type="gramEnd"/>
      <w:r w:rsidRPr="00E458FA">
        <w:rPr>
          <w:rFonts w:eastAsia="Times New Roman" w:cs="Times New Roman"/>
          <w:szCs w:val="24"/>
        </w:rPr>
        <w:t xml:space="preserve"> sure</w:t>
      </w:r>
    </w:p>
    <w:p w14:paraId="090DBF03" w14:textId="77777777" w:rsidR="00556797" w:rsidRDefault="00E458FA" w:rsidP="00556797">
      <w:pPr>
        <w:tabs>
          <w:tab w:val="left" w:pos="567"/>
        </w:tabs>
        <w:spacing w:after="288" w:line="240" w:lineRule="auto"/>
        <w:ind w:left="142" w:right="11"/>
        <w:rPr>
          <w:rFonts w:eastAsia="Times New Roman" w:cs="Arial"/>
          <w:szCs w:val="24"/>
        </w:rPr>
      </w:pPr>
      <w:r w:rsidRPr="00E458FA">
        <w:rPr>
          <w:rFonts w:eastAsia="Times New Roman" w:cs="Arial"/>
          <w:szCs w:val="24"/>
        </w:rPr>
        <w:t xml:space="preserve">Please give reasons for your answer, including evidence on the costs and benefits associated with having a contingency plan in place? Please quantify these costs where possible. </w:t>
      </w:r>
    </w:p>
    <w:p w14:paraId="6F6599BF" w14:textId="77777777" w:rsidR="007765A7" w:rsidRPr="006731FB" w:rsidRDefault="007765A7" w:rsidP="007765A7">
      <w:pPr>
        <w:spacing w:after="288" w:line="240" w:lineRule="auto"/>
        <w:ind w:left="142"/>
        <w:rPr>
          <w:rFonts w:asciiTheme="minorHAnsi" w:eastAsia="Times New Roman" w:hAnsiTheme="minorHAnsi" w:cs="Arial"/>
          <w:szCs w:val="24"/>
        </w:rPr>
      </w:pPr>
      <w:r w:rsidRPr="006731FB">
        <w:rPr>
          <w:rFonts w:asciiTheme="minorHAnsi" w:eastAsia="Times New Roman" w:hAnsiTheme="minorHAnsi" w:cs="Arial"/>
          <w:szCs w:val="24"/>
        </w:rPr>
        <w:t>The benefit is clear; students are protected if their provider fails – they would not be disadvantaged financially.</w:t>
      </w:r>
    </w:p>
    <w:p w14:paraId="27C8356A" w14:textId="77777777" w:rsidR="00AE7B4A" w:rsidRPr="006731FB" w:rsidRDefault="00261082" w:rsidP="007765A7">
      <w:pPr>
        <w:tabs>
          <w:tab w:val="left" w:pos="567"/>
        </w:tabs>
        <w:spacing w:after="288" w:line="240" w:lineRule="auto"/>
        <w:ind w:left="142" w:right="11"/>
        <w:rPr>
          <w:rFonts w:asciiTheme="minorHAnsi" w:eastAsia="Times New Roman" w:hAnsiTheme="minorHAnsi" w:cs="Arial"/>
          <w:szCs w:val="24"/>
        </w:rPr>
      </w:pPr>
      <w:r w:rsidRPr="006731FB">
        <w:rPr>
          <w:rFonts w:asciiTheme="minorHAnsi" w:eastAsia="Times New Roman" w:hAnsiTheme="minorHAnsi" w:cs="Arial"/>
          <w:szCs w:val="24"/>
        </w:rPr>
        <w:lastRenderedPageBreak/>
        <w:t xml:space="preserve">In partnerships, </w:t>
      </w:r>
      <w:r w:rsidR="007765A7" w:rsidRPr="006731FB">
        <w:rPr>
          <w:rFonts w:asciiTheme="minorHAnsi" w:eastAsia="Times New Roman" w:hAnsiTheme="minorHAnsi" w:cs="Arial"/>
          <w:szCs w:val="24"/>
        </w:rPr>
        <w:t>u</w:t>
      </w:r>
      <w:r w:rsidR="008A56BB" w:rsidRPr="006731FB">
        <w:rPr>
          <w:rFonts w:asciiTheme="minorHAnsi" w:eastAsia="Times New Roman" w:hAnsiTheme="minorHAnsi" w:cs="Arial"/>
          <w:szCs w:val="24"/>
        </w:rPr>
        <w:t>niversities are required by the Quality Assurance Agency to have such in place; this includes reference to such in agreements for arrangements and in procedures for managing agreements. This should be applied equally to all providers of higher education.</w:t>
      </w:r>
      <w:r w:rsidR="007765A7" w:rsidRPr="006731FB">
        <w:rPr>
          <w:rFonts w:asciiTheme="minorHAnsi" w:eastAsia="Times New Roman" w:hAnsiTheme="minorHAnsi" w:cs="Arial"/>
          <w:szCs w:val="24"/>
        </w:rPr>
        <w:t xml:space="preserve">  However, </w:t>
      </w:r>
      <w:r w:rsidR="006731FB" w:rsidRPr="006731FB">
        <w:rPr>
          <w:rFonts w:asciiTheme="minorHAnsi" w:eastAsia="Times New Roman" w:hAnsiTheme="minorHAnsi" w:cs="Arial"/>
          <w:szCs w:val="24"/>
        </w:rPr>
        <w:t>this underlines the essential need for stringent entry requirements.  H</w:t>
      </w:r>
      <w:r w:rsidR="00AE7B4A" w:rsidRPr="006731FB">
        <w:rPr>
          <w:rFonts w:asciiTheme="minorHAnsi" w:eastAsia="Times New Roman" w:hAnsiTheme="minorHAnsi" w:cs="Arial"/>
          <w:szCs w:val="24"/>
        </w:rPr>
        <w:t xml:space="preserve">aving contingency arrangements in place </w:t>
      </w:r>
      <w:r w:rsidR="007765A7" w:rsidRPr="006731FB">
        <w:rPr>
          <w:rFonts w:asciiTheme="minorHAnsi" w:eastAsia="Times New Roman" w:hAnsiTheme="minorHAnsi" w:cs="Arial"/>
          <w:szCs w:val="24"/>
        </w:rPr>
        <w:t xml:space="preserve">does not provide a reason </w:t>
      </w:r>
      <w:r w:rsidR="00AE7B4A" w:rsidRPr="006731FB">
        <w:rPr>
          <w:rFonts w:asciiTheme="minorHAnsi" w:eastAsia="Times New Roman" w:hAnsiTheme="minorHAnsi" w:cs="Arial"/>
          <w:szCs w:val="24"/>
        </w:rPr>
        <w:t>for lightening the requirements for entry to the sector or for ongoing assessment of quality and maintenance of standards.</w:t>
      </w:r>
      <w:r w:rsidR="007765A7" w:rsidRPr="006731FB">
        <w:rPr>
          <w:rFonts w:asciiTheme="minorHAnsi" w:eastAsia="Times New Roman" w:hAnsiTheme="minorHAnsi" w:cs="Arial"/>
          <w:szCs w:val="24"/>
        </w:rPr>
        <w:t xml:space="preserve">  Additionally, while students might be compensated financially, it is not possible to undo damage to career prospects through time wasted.  In practice, it can be difficult to identify alternative providers in the event a course closes – this would be particularly challenging when dealing with programmes in niche subjects </w:t>
      </w:r>
      <w:r w:rsidR="00BA6BF1">
        <w:rPr>
          <w:rFonts w:asciiTheme="minorHAnsi" w:eastAsia="Times New Roman" w:hAnsiTheme="minorHAnsi" w:cs="Arial"/>
          <w:szCs w:val="24"/>
        </w:rPr>
        <w:t>(</w:t>
      </w:r>
      <w:r w:rsidR="006731FB" w:rsidRPr="006731FB">
        <w:rPr>
          <w:rFonts w:asciiTheme="minorHAnsi" w:eastAsia="Times New Roman" w:hAnsiTheme="minorHAnsi" w:cs="Arial"/>
          <w:szCs w:val="24"/>
        </w:rPr>
        <w:t>something the Green Paper seeks to facilitate</w:t>
      </w:r>
      <w:r w:rsidR="00BA6BF1">
        <w:rPr>
          <w:rFonts w:asciiTheme="minorHAnsi" w:eastAsia="Times New Roman" w:hAnsiTheme="minorHAnsi" w:cs="Arial"/>
          <w:szCs w:val="24"/>
        </w:rPr>
        <w:t>)</w:t>
      </w:r>
      <w:r w:rsidR="006731FB" w:rsidRPr="006731FB">
        <w:rPr>
          <w:rFonts w:asciiTheme="minorHAnsi" w:eastAsia="Times New Roman" w:hAnsiTheme="minorHAnsi" w:cs="Arial"/>
          <w:szCs w:val="24"/>
        </w:rPr>
        <w:t>.</w:t>
      </w:r>
      <w:r w:rsidR="007765A7" w:rsidRPr="006731FB">
        <w:rPr>
          <w:rFonts w:asciiTheme="minorHAnsi" w:eastAsia="Times New Roman" w:hAnsiTheme="minorHAnsi" w:cs="Arial"/>
          <w:szCs w:val="24"/>
        </w:rPr>
        <w:t xml:space="preserve">    </w:t>
      </w:r>
    </w:p>
    <w:p w14:paraId="46B5F541" w14:textId="77777777" w:rsidR="00985EB8" w:rsidRPr="006731FB" w:rsidRDefault="00AE7B4A" w:rsidP="00985EB8">
      <w:pPr>
        <w:pStyle w:val="CommentText"/>
        <w:ind w:left="142"/>
        <w:rPr>
          <w:rFonts w:asciiTheme="minorHAnsi" w:eastAsia="Times New Roman" w:hAnsiTheme="minorHAnsi" w:cs="Arial"/>
          <w:sz w:val="24"/>
          <w:szCs w:val="24"/>
        </w:rPr>
      </w:pPr>
      <w:r w:rsidRPr="006731FB">
        <w:rPr>
          <w:rFonts w:asciiTheme="minorHAnsi" w:eastAsia="Times New Roman" w:hAnsiTheme="minorHAnsi" w:cs="Arial"/>
          <w:sz w:val="24"/>
          <w:szCs w:val="24"/>
        </w:rPr>
        <w:t xml:space="preserve">Costs are difficult to ascertain as </w:t>
      </w:r>
      <w:r w:rsidR="00BA6BF1">
        <w:rPr>
          <w:rFonts w:asciiTheme="minorHAnsi" w:eastAsia="Times New Roman" w:hAnsiTheme="minorHAnsi" w:cs="Arial"/>
          <w:sz w:val="24"/>
          <w:szCs w:val="24"/>
        </w:rPr>
        <w:t>they will</w:t>
      </w:r>
      <w:r w:rsidRPr="006731FB">
        <w:rPr>
          <w:rFonts w:asciiTheme="minorHAnsi" w:eastAsia="Times New Roman" w:hAnsiTheme="minorHAnsi" w:cs="Arial"/>
          <w:sz w:val="24"/>
          <w:szCs w:val="24"/>
        </w:rPr>
        <w:t xml:space="preserve"> be </w:t>
      </w:r>
      <w:r w:rsidR="00BA6BF1">
        <w:rPr>
          <w:rFonts w:asciiTheme="minorHAnsi" w:eastAsia="Times New Roman" w:hAnsiTheme="minorHAnsi" w:cs="Arial"/>
          <w:sz w:val="24"/>
          <w:szCs w:val="24"/>
        </w:rPr>
        <w:t>affected</w:t>
      </w:r>
      <w:r w:rsidRPr="006731FB">
        <w:rPr>
          <w:rFonts w:asciiTheme="minorHAnsi" w:eastAsia="Times New Roman" w:hAnsiTheme="minorHAnsi" w:cs="Arial"/>
          <w:sz w:val="24"/>
          <w:szCs w:val="24"/>
        </w:rPr>
        <w:t xml:space="preserve"> by location (overseas being more expensive for obvious reasons than a UK-based provider).</w:t>
      </w:r>
      <w:r w:rsidR="00985EB8" w:rsidRPr="006731FB">
        <w:rPr>
          <w:rFonts w:asciiTheme="minorHAnsi" w:eastAsia="Times New Roman" w:hAnsiTheme="minorHAnsi" w:cs="Arial"/>
          <w:szCs w:val="24"/>
        </w:rPr>
        <w:t xml:space="preserve"> </w:t>
      </w:r>
      <w:r w:rsidR="00985EB8" w:rsidRPr="006731FB">
        <w:rPr>
          <w:rFonts w:asciiTheme="minorHAnsi" w:eastAsia="Times New Roman" w:hAnsiTheme="minorHAnsi" w:cs="Arial"/>
          <w:sz w:val="24"/>
          <w:szCs w:val="24"/>
        </w:rPr>
        <w:t xml:space="preserve">This is a very complex area which is difficult to underwrite. </w:t>
      </w:r>
    </w:p>
    <w:p w14:paraId="4D8E9EF8" w14:textId="77777777" w:rsidR="006731FB" w:rsidRPr="006731FB" w:rsidRDefault="00AE7B4A" w:rsidP="00AE7B4A">
      <w:pPr>
        <w:pStyle w:val="CommentText"/>
        <w:ind w:left="142"/>
        <w:rPr>
          <w:rFonts w:asciiTheme="minorHAnsi" w:eastAsia="Times New Roman" w:hAnsiTheme="minorHAnsi" w:cs="Arial"/>
          <w:sz w:val="24"/>
          <w:szCs w:val="24"/>
        </w:rPr>
      </w:pPr>
      <w:r w:rsidRPr="006731FB">
        <w:rPr>
          <w:rFonts w:asciiTheme="minorHAnsi" w:eastAsia="Times New Roman" w:hAnsiTheme="minorHAnsi" w:cs="Arial"/>
          <w:sz w:val="24"/>
          <w:szCs w:val="24"/>
        </w:rPr>
        <w:t>Perhaps the Office for Students (</w:t>
      </w:r>
      <w:proofErr w:type="spellStart"/>
      <w:r w:rsidRPr="006731FB">
        <w:rPr>
          <w:rFonts w:asciiTheme="minorHAnsi" w:eastAsia="Times New Roman" w:hAnsiTheme="minorHAnsi" w:cs="Arial"/>
          <w:sz w:val="24"/>
          <w:szCs w:val="24"/>
        </w:rPr>
        <w:t>OfS</w:t>
      </w:r>
      <w:proofErr w:type="spellEnd"/>
      <w:r w:rsidRPr="006731FB">
        <w:rPr>
          <w:rFonts w:asciiTheme="minorHAnsi" w:eastAsia="Times New Roman" w:hAnsiTheme="minorHAnsi" w:cs="Arial"/>
          <w:sz w:val="24"/>
          <w:szCs w:val="24"/>
        </w:rPr>
        <w:t xml:space="preserve">) should take greater responsibility for overseeing the exit of a provider and having contingency arrangements, i.e. that the office overseeing entry to the sector and monitoring also oversees exit, rather than just providing support?  </w:t>
      </w:r>
    </w:p>
    <w:p w14:paraId="7375808F" w14:textId="77777777" w:rsidR="00AE7B4A" w:rsidRPr="006731FB" w:rsidRDefault="00AE7B4A" w:rsidP="00AE7B4A">
      <w:pPr>
        <w:pStyle w:val="CommentText"/>
        <w:ind w:left="142"/>
        <w:rPr>
          <w:rFonts w:asciiTheme="minorHAnsi" w:eastAsia="Times New Roman" w:hAnsiTheme="minorHAnsi" w:cs="Arial"/>
          <w:sz w:val="24"/>
          <w:szCs w:val="24"/>
        </w:rPr>
      </w:pPr>
      <w:r w:rsidRPr="006731FB">
        <w:rPr>
          <w:rFonts w:asciiTheme="minorHAnsi" w:eastAsia="Times New Roman" w:hAnsiTheme="minorHAnsi" w:cs="Arial"/>
          <w:sz w:val="24"/>
          <w:szCs w:val="24"/>
        </w:rPr>
        <w:t>The</w:t>
      </w:r>
      <w:r w:rsidR="006731FB" w:rsidRPr="006731FB">
        <w:rPr>
          <w:rFonts w:asciiTheme="minorHAnsi" w:eastAsia="Times New Roman" w:hAnsiTheme="minorHAnsi" w:cs="Arial"/>
          <w:sz w:val="24"/>
          <w:szCs w:val="24"/>
        </w:rPr>
        <w:t xml:space="preserve"> differing </w:t>
      </w:r>
      <w:r w:rsidRPr="006731FB">
        <w:rPr>
          <w:rFonts w:asciiTheme="minorHAnsi" w:eastAsia="Times New Roman" w:hAnsiTheme="minorHAnsi" w:cs="Arial"/>
          <w:sz w:val="24"/>
          <w:szCs w:val="24"/>
        </w:rPr>
        <w:t xml:space="preserve">legislative </w:t>
      </w:r>
      <w:proofErr w:type="gramStart"/>
      <w:r w:rsidRPr="006731FB">
        <w:rPr>
          <w:rFonts w:asciiTheme="minorHAnsi" w:eastAsia="Times New Roman" w:hAnsiTheme="minorHAnsi" w:cs="Arial"/>
          <w:sz w:val="24"/>
          <w:szCs w:val="24"/>
        </w:rPr>
        <w:t>position</w:t>
      </w:r>
      <w:r w:rsidR="006731FB" w:rsidRPr="006731FB">
        <w:rPr>
          <w:rFonts w:asciiTheme="minorHAnsi" w:eastAsia="Times New Roman" w:hAnsiTheme="minorHAnsi" w:cs="Arial"/>
          <w:sz w:val="24"/>
          <w:szCs w:val="24"/>
        </w:rPr>
        <w:t>s</w:t>
      </w:r>
      <w:r w:rsidRPr="006731FB">
        <w:rPr>
          <w:rFonts w:asciiTheme="minorHAnsi" w:eastAsia="Times New Roman" w:hAnsiTheme="minorHAnsi" w:cs="Arial"/>
          <w:sz w:val="24"/>
          <w:szCs w:val="24"/>
        </w:rPr>
        <w:t xml:space="preserve"> </w:t>
      </w:r>
      <w:r w:rsidR="006731FB" w:rsidRPr="006731FB">
        <w:rPr>
          <w:rFonts w:asciiTheme="minorHAnsi" w:eastAsia="Times New Roman" w:hAnsiTheme="minorHAnsi" w:cs="Arial"/>
          <w:sz w:val="24"/>
          <w:szCs w:val="24"/>
        </w:rPr>
        <w:t xml:space="preserve">of the </w:t>
      </w:r>
      <w:r w:rsidRPr="006731FB">
        <w:rPr>
          <w:rFonts w:asciiTheme="minorHAnsi" w:eastAsia="Times New Roman" w:hAnsiTheme="minorHAnsi" w:cs="Arial"/>
          <w:sz w:val="24"/>
          <w:szCs w:val="24"/>
        </w:rPr>
        <w:t>pre</w:t>
      </w:r>
      <w:r w:rsidR="006731FB" w:rsidRPr="006731FB">
        <w:rPr>
          <w:rFonts w:asciiTheme="minorHAnsi" w:eastAsia="Times New Roman" w:hAnsiTheme="minorHAnsi" w:cs="Arial"/>
          <w:sz w:val="24"/>
          <w:szCs w:val="24"/>
        </w:rPr>
        <w:t>-</w:t>
      </w:r>
      <w:r w:rsidRPr="006731FB">
        <w:rPr>
          <w:rFonts w:asciiTheme="minorHAnsi" w:eastAsia="Times New Roman" w:hAnsiTheme="minorHAnsi" w:cs="Arial"/>
          <w:sz w:val="24"/>
          <w:szCs w:val="24"/>
        </w:rPr>
        <w:t xml:space="preserve"> and post-92 </w:t>
      </w:r>
      <w:r w:rsidR="006731FB" w:rsidRPr="006731FB">
        <w:rPr>
          <w:rFonts w:asciiTheme="minorHAnsi" w:eastAsia="Times New Roman" w:hAnsiTheme="minorHAnsi" w:cs="Arial"/>
          <w:sz w:val="24"/>
          <w:szCs w:val="24"/>
        </w:rPr>
        <w:t>u</w:t>
      </w:r>
      <w:r w:rsidRPr="006731FB">
        <w:rPr>
          <w:rFonts w:asciiTheme="minorHAnsi" w:eastAsia="Times New Roman" w:hAnsiTheme="minorHAnsi" w:cs="Arial"/>
          <w:sz w:val="24"/>
          <w:szCs w:val="24"/>
        </w:rPr>
        <w:t xml:space="preserve">niversities </w:t>
      </w:r>
      <w:r w:rsidR="006731FB" w:rsidRPr="006731FB">
        <w:rPr>
          <w:rFonts w:asciiTheme="minorHAnsi" w:eastAsia="Times New Roman" w:hAnsiTheme="minorHAnsi" w:cs="Arial"/>
          <w:sz w:val="24"/>
          <w:szCs w:val="24"/>
        </w:rPr>
        <w:t xml:space="preserve">in the event of </w:t>
      </w:r>
      <w:r w:rsidRPr="006731FB">
        <w:rPr>
          <w:rFonts w:asciiTheme="minorHAnsi" w:eastAsia="Times New Roman" w:hAnsiTheme="minorHAnsi" w:cs="Arial"/>
          <w:sz w:val="24"/>
          <w:szCs w:val="24"/>
        </w:rPr>
        <w:t>closure is</w:t>
      </w:r>
      <w:proofErr w:type="gramEnd"/>
      <w:r w:rsidRPr="006731FB">
        <w:rPr>
          <w:rFonts w:asciiTheme="minorHAnsi" w:eastAsia="Times New Roman" w:hAnsiTheme="minorHAnsi" w:cs="Arial"/>
          <w:sz w:val="24"/>
          <w:szCs w:val="24"/>
        </w:rPr>
        <w:t xml:space="preserve"> likely to need consideration.</w:t>
      </w:r>
    </w:p>
    <w:p w14:paraId="7DD1E070" w14:textId="77777777" w:rsidR="00261082" w:rsidRPr="00E458FA" w:rsidRDefault="00261082" w:rsidP="00E458FA">
      <w:pPr>
        <w:spacing w:after="288" w:line="240" w:lineRule="auto"/>
        <w:ind w:left="142"/>
        <w:rPr>
          <w:rFonts w:eastAsia="Times New Roman" w:cs="Times New Roman"/>
          <w:szCs w:val="24"/>
        </w:rPr>
      </w:pPr>
    </w:p>
    <w:p w14:paraId="779C1781" w14:textId="77777777" w:rsidR="00E458FA" w:rsidRPr="00E458FA" w:rsidRDefault="00E458FA" w:rsidP="00E458FA">
      <w:pPr>
        <w:keepNext/>
        <w:spacing w:after="120" w:line="240" w:lineRule="auto"/>
        <w:ind w:left="142"/>
        <w:outlineLvl w:val="2"/>
        <w:rPr>
          <w:rFonts w:eastAsia="Times New Roman" w:cs="Times New Roman"/>
          <w:b/>
          <w:bCs/>
          <w:color w:val="009BBB"/>
          <w:sz w:val="26"/>
          <w:szCs w:val="26"/>
        </w:rPr>
      </w:pPr>
      <w:bookmarkStart w:id="12" w:name="_Toc434412501"/>
      <w:r w:rsidRPr="00E458FA">
        <w:rPr>
          <w:rFonts w:eastAsia="Times New Roman" w:cs="Times New Roman"/>
          <w:b/>
          <w:bCs/>
          <w:color w:val="009BBB"/>
          <w:sz w:val="26"/>
          <w:szCs w:val="26"/>
        </w:rPr>
        <w:t>Simplifying the higher education architecture (Part C)</w:t>
      </w:r>
      <w:bookmarkEnd w:id="12"/>
    </w:p>
    <w:p w14:paraId="3A3EA294" w14:textId="77777777"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Question 18:</w:t>
      </w:r>
    </w:p>
    <w:p w14:paraId="0FEFE534" w14:textId="77777777" w:rsidR="00E458FA" w:rsidRPr="00E458FA" w:rsidRDefault="00E458FA" w:rsidP="00E458FA">
      <w:pPr>
        <w:numPr>
          <w:ilvl w:val="0"/>
          <w:numId w:val="23"/>
        </w:numPr>
        <w:tabs>
          <w:tab w:val="left" w:pos="567"/>
        </w:tabs>
        <w:spacing w:after="288" w:line="240" w:lineRule="auto"/>
        <w:ind w:right="11"/>
        <w:rPr>
          <w:rFonts w:eastAsia="Times New Roman" w:cs="Arial"/>
          <w:szCs w:val="24"/>
        </w:rPr>
      </w:pPr>
      <w:r w:rsidRPr="00E458FA">
        <w:rPr>
          <w:rFonts w:eastAsia="Times New Roman" w:cs="Arial"/>
          <w:szCs w:val="24"/>
        </w:rPr>
        <w:t xml:space="preserve">Do you agree with the proposed changes to the higher education architecture? </w:t>
      </w:r>
    </w:p>
    <w:p w14:paraId="0138C2C7" w14:textId="77777777" w:rsidR="00E458FA" w:rsidRPr="00E458FA" w:rsidRDefault="00971BC8" w:rsidP="00E458FA">
      <w:pPr>
        <w:tabs>
          <w:tab w:val="left" w:pos="567"/>
        </w:tabs>
        <w:spacing w:after="288" w:line="240" w:lineRule="auto"/>
        <w:ind w:left="142"/>
        <w:rPr>
          <w:rFonts w:eastAsia="Times New Roman" w:cs="Times New Roman"/>
          <w:szCs w:val="24"/>
        </w:rPr>
      </w:pPr>
      <w:sdt>
        <w:sdtPr>
          <w:rPr>
            <w:rFonts w:ascii="MS Gothic" w:eastAsia="MS Gothic" w:hAnsi="MS Gothic" w:cs="Times New Roman"/>
            <w:szCs w:val="24"/>
          </w:rPr>
          <w:id w:val="-1084302760"/>
        </w:sdtPr>
        <w:sdtEndPr/>
        <w:sdtContent>
          <w:r w:rsidR="00E458FA" w:rsidRPr="00E458FA">
            <w:rPr>
              <w:rFonts w:ascii="MS Gothic" w:eastAsia="MS Gothic" w:hAnsi="MS Gothic" w:cs="Times New Roman" w:hint="eastAsia"/>
              <w:szCs w:val="24"/>
            </w:rPr>
            <w:t>☐</w:t>
          </w:r>
        </w:sdtContent>
      </w:sdt>
      <w:r w:rsidR="00E458FA" w:rsidRPr="00E458FA">
        <w:rPr>
          <w:rFonts w:eastAsia="Times New Roman" w:cs="Times New Roman"/>
          <w:szCs w:val="24"/>
        </w:rPr>
        <w:t xml:space="preserve"> Yes</w:t>
      </w:r>
      <w:r w:rsidR="00E458FA" w:rsidRPr="00E458FA">
        <w:rPr>
          <w:rFonts w:eastAsia="Times New Roman" w:cs="Times New Roman"/>
          <w:szCs w:val="24"/>
        </w:rPr>
        <w:tab/>
      </w:r>
      <w:r w:rsidR="00E458FA" w:rsidRPr="00E458FA">
        <w:rPr>
          <w:rFonts w:eastAsia="Times New Roman" w:cs="Times New Roman"/>
          <w:szCs w:val="24"/>
        </w:rPr>
        <w:tab/>
      </w:r>
      <w:sdt>
        <w:sdtPr>
          <w:rPr>
            <w:rFonts w:ascii="MS Gothic" w:eastAsia="MS Gothic" w:hAnsi="MS Gothic" w:cs="Times New Roman"/>
            <w:szCs w:val="24"/>
          </w:rPr>
          <w:id w:val="-905529047"/>
        </w:sdtPr>
        <w:sdtEndPr/>
        <w:sdtContent>
          <w:r w:rsidR="00E458FA" w:rsidRPr="00E458FA">
            <w:rPr>
              <w:rFonts w:ascii="MS Gothic" w:eastAsia="MS Gothic" w:hAnsi="MS Gothic" w:cs="Times New Roman" w:hint="eastAsia"/>
              <w:szCs w:val="24"/>
            </w:rPr>
            <w:t>☐</w:t>
          </w:r>
        </w:sdtContent>
      </w:sdt>
      <w:r w:rsidR="00E458FA" w:rsidRPr="00E458FA">
        <w:rPr>
          <w:rFonts w:eastAsia="Times New Roman" w:cs="Times New Roman"/>
          <w:szCs w:val="24"/>
        </w:rPr>
        <w:t xml:space="preserve"> No</w:t>
      </w:r>
      <w:r w:rsidR="00E458FA" w:rsidRPr="00E458FA">
        <w:rPr>
          <w:rFonts w:eastAsia="Times New Roman" w:cs="Times New Roman"/>
          <w:szCs w:val="24"/>
        </w:rPr>
        <w:tab/>
      </w:r>
      <w:r w:rsidR="00E458FA" w:rsidRPr="00E458FA">
        <w:rPr>
          <w:rFonts w:eastAsia="Times New Roman" w:cs="Times New Roman"/>
          <w:szCs w:val="24"/>
        </w:rPr>
        <w:tab/>
      </w:r>
      <w:r w:rsidR="00E458FA" w:rsidRPr="00E458FA">
        <w:rPr>
          <w:rFonts w:eastAsia="Times New Roman" w:cs="Times New Roman"/>
          <w:szCs w:val="24"/>
        </w:rPr>
        <w:tab/>
      </w:r>
      <w:sdt>
        <w:sdtPr>
          <w:rPr>
            <w:rFonts w:ascii="MS Gothic" w:eastAsia="MS Gothic" w:hAnsi="MS Gothic" w:cs="Times New Roman"/>
            <w:szCs w:val="24"/>
          </w:rPr>
          <w:id w:val="-1203939290"/>
        </w:sdtPr>
        <w:sdtEndPr/>
        <w:sdtContent>
          <w:r w:rsidR="003A47AF">
            <w:rPr>
              <w:rFonts w:ascii="MS Gothic" w:eastAsia="MS Gothic" w:hAnsi="MS Gothic" w:cs="Times New Roman" w:hint="eastAsia"/>
              <w:szCs w:val="24"/>
            </w:rPr>
            <w:t>☒</w:t>
          </w:r>
        </w:sdtContent>
      </w:sdt>
      <w:r w:rsidR="00E458FA" w:rsidRPr="00E458FA">
        <w:rPr>
          <w:rFonts w:eastAsia="Times New Roman" w:cs="Times New Roman"/>
          <w:szCs w:val="24"/>
        </w:rPr>
        <w:t xml:space="preserve"> </w:t>
      </w:r>
      <w:proofErr w:type="gramStart"/>
      <w:r w:rsidR="00E458FA" w:rsidRPr="00E458FA">
        <w:rPr>
          <w:rFonts w:eastAsia="Times New Roman" w:cs="Times New Roman"/>
          <w:szCs w:val="24"/>
        </w:rPr>
        <w:t>Not</w:t>
      </w:r>
      <w:proofErr w:type="gramEnd"/>
      <w:r w:rsidR="00E458FA" w:rsidRPr="00E458FA">
        <w:rPr>
          <w:rFonts w:eastAsia="Times New Roman" w:cs="Times New Roman"/>
          <w:szCs w:val="24"/>
        </w:rPr>
        <w:t xml:space="preserve"> sure</w:t>
      </w:r>
    </w:p>
    <w:p w14:paraId="7994F952" w14:textId="77777777"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 xml:space="preserve">Please give reasons for your answer.  </w:t>
      </w:r>
    </w:p>
    <w:p w14:paraId="632DC55C" w14:textId="77777777" w:rsidR="00B83677" w:rsidRPr="00B83677" w:rsidRDefault="003A47AF" w:rsidP="00B83677">
      <w:pPr>
        <w:spacing w:after="288" w:line="240" w:lineRule="auto"/>
        <w:ind w:left="142"/>
        <w:rPr>
          <w:rFonts w:asciiTheme="minorHAnsi" w:eastAsia="Times New Roman" w:hAnsiTheme="minorHAnsi" w:cstheme="minorHAnsi"/>
          <w:szCs w:val="24"/>
        </w:rPr>
      </w:pPr>
      <w:r w:rsidRPr="00B83677">
        <w:rPr>
          <w:rFonts w:asciiTheme="minorHAnsi" w:eastAsia="Times New Roman" w:hAnsiTheme="minorHAnsi" w:cstheme="minorHAnsi"/>
          <w:szCs w:val="24"/>
        </w:rPr>
        <w:t xml:space="preserve">We are sure it goes far enough in reducing the number of different bodies </w:t>
      </w:r>
      <w:r w:rsidR="00B83677">
        <w:rPr>
          <w:rFonts w:asciiTheme="minorHAnsi" w:eastAsia="Times New Roman" w:hAnsiTheme="minorHAnsi" w:cstheme="minorHAnsi"/>
          <w:szCs w:val="24"/>
        </w:rPr>
        <w:t xml:space="preserve">that </w:t>
      </w:r>
      <w:r w:rsidR="008A56BB" w:rsidRPr="00B83677">
        <w:rPr>
          <w:rFonts w:asciiTheme="minorHAnsi" w:eastAsia="Times New Roman" w:hAnsiTheme="minorHAnsi" w:cstheme="minorHAnsi"/>
          <w:szCs w:val="24"/>
        </w:rPr>
        <w:t>institutions</w:t>
      </w:r>
      <w:r w:rsidRPr="00B83677">
        <w:rPr>
          <w:rFonts w:asciiTheme="minorHAnsi" w:eastAsia="Times New Roman" w:hAnsiTheme="minorHAnsi" w:cstheme="minorHAnsi"/>
          <w:szCs w:val="24"/>
        </w:rPr>
        <w:t xml:space="preserve"> are required to coordinate with – on the other hand, it fails to </w:t>
      </w:r>
      <w:r w:rsidR="008A56BB" w:rsidRPr="00B83677">
        <w:rPr>
          <w:rFonts w:asciiTheme="minorHAnsi" w:eastAsia="Times New Roman" w:hAnsiTheme="minorHAnsi" w:cstheme="minorHAnsi"/>
          <w:szCs w:val="24"/>
        </w:rPr>
        <w:t>retain</w:t>
      </w:r>
      <w:r w:rsidRPr="00B83677">
        <w:rPr>
          <w:rFonts w:asciiTheme="minorHAnsi" w:eastAsia="Times New Roman" w:hAnsiTheme="minorHAnsi" w:cstheme="minorHAnsi"/>
          <w:szCs w:val="24"/>
        </w:rPr>
        <w:t xml:space="preserve"> the independence of the Quality Assurance Agency </w:t>
      </w:r>
      <w:r w:rsidR="006B1E97" w:rsidRPr="00B83677">
        <w:rPr>
          <w:rFonts w:asciiTheme="minorHAnsi" w:eastAsia="Times New Roman" w:hAnsiTheme="minorHAnsi" w:cstheme="minorHAnsi"/>
          <w:szCs w:val="24"/>
        </w:rPr>
        <w:t xml:space="preserve">– or similar organisation - </w:t>
      </w:r>
      <w:r w:rsidRPr="00B83677">
        <w:rPr>
          <w:rFonts w:asciiTheme="minorHAnsi" w:eastAsia="Times New Roman" w:hAnsiTheme="minorHAnsi" w:cstheme="minorHAnsi"/>
          <w:szCs w:val="24"/>
        </w:rPr>
        <w:t>in any clear fashion. We have grave concern in regard to the funding council proposals for quality assessment and would wish to see continuation of co-regulation undertaken by the sector and a body independent of both government and of institutions.</w:t>
      </w:r>
      <w:r w:rsidR="00E010C6" w:rsidRPr="00B83677">
        <w:rPr>
          <w:rFonts w:asciiTheme="minorHAnsi" w:eastAsia="Times New Roman" w:hAnsiTheme="minorHAnsi" w:cstheme="minorHAnsi"/>
          <w:szCs w:val="24"/>
        </w:rPr>
        <w:t xml:space="preserve"> We feel strongly that there needs to be a UK-wide approach.</w:t>
      </w:r>
      <w:r w:rsidR="00900E8B" w:rsidRPr="00B83677">
        <w:rPr>
          <w:rFonts w:asciiTheme="minorHAnsi" w:eastAsia="Times New Roman" w:hAnsiTheme="minorHAnsi" w:cstheme="minorHAnsi"/>
          <w:szCs w:val="24"/>
        </w:rPr>
        <w:t xml:space="preserve">  </w:t>
      </w:r>
      <w:r w:rsidR="00B83677" w:rsidRPr="00B83677">
        <w:rPr>
          <w:rFonts w:asciiTheme="minorHAnsi" w:eastAsia="Times New Roman" w:hAnsiTheme="minorHAnsi" w:cstheme="minorHAnsi"/>
          <w:szCs w:val="24"/>
        </w:rPr>
        <w:t xml:space="preserve">As a key instance, QAA and HESA are bodies operating across the UK and part-funded by the sector UK-wide.  Proposed changes to their activities also need to take account of the shape and needs of </w:t>
      </w:r>
      <w:proofErr w:type="gramStart"/>
      <w:r w:rsidR="00B83677" w:rsidRPr="00B83677">
        <w:rPr>
          <w:rFonts w:asciiTheme="minorHAnsi" w:eastAsia="Times New Roman" w:hAnsiTheme="minorHAnsi" w:cstheme="minorHAnsi"/>
          <w:szCs w:val="24"/>
        </w:rPr>
        <w:t>HE</w:t>
      </w:r>
      <w:proofErr w:type="gramEnd"/>
      <w:r w:rsidR="00B83677" w:rsidRPr="00B83677">
        <w:rPr>
          <w:rFonts w:asciiTheme="minorHAnsi" w:eastAsia="Times New Roman" w:hAnsiTheme="minorHAnsi" w:cstheme="minorHAnsi"/>
          <w:szCs w:val="24"/>
        </w:rPr>
        <w:t xml:space="preserve"> for the whole of the UK.  We are concerned that the Green Paper does not confuse the rest of the world about the unitary nature of UK HE brand.  </w:t>
      </w:r>
    </w:p>
    <w:p w14:paraId="6DF9487D" w14:textId="77777777" w:rsidR="00E458FA" w:rsidRPr="00E458FA" w:rsidRDefault="00E458FA" w:rsidP="00D85185">
      <w:pPr>
        <w:spacing w:after="288" w:line="240" w:lineRule="auto"/>
        <w:ind w:left="142"/>
        <w:rPr>
          <w:rFonts w:eastAsia="Times New Roman" w:cs="Arial"/>
          <w:szCs w:val="24"/>
        </w:rPr>
      </w:pPr>
    </w:p>
    <w:p w14:paraId="0F5EDD19" w14:textId="77777777" w:rsidR="00E458FA" w:rsidRPr="00E458FA" w:rsidRDefault="00E458FA" w:rsidP="00E458FA">
      <w:pPr>
        <w:numPr>
          <w:ilvl w:val="0"/>
          <w:numId w:val="23"/>
        </w:numPr>
        <w:tabs>
          <w:tab w:val="left" w:pos="567"/>
        </w:tabs>
        <w:spacing w:after="288" w:line="240" w:lineRule="auto"/>
        <w:ind w:right="11"/>
        <w:rPr>
          <w:rFonts w:eastAsia="Times New Roman" w:cs="Arial"/>
          <w:szCs w:val="24"/>
        </w:rPr>
      </w:pPr>
      <w:r w:rsidRPr="00E458FA">
        <w:rPr>
          <w:rFonts w:eastAsia="Times New Roman" w:cs="Arial"/>
          <w:szCs w:val="24"/>
        </w:rPr>
        <w:lastRenderedPageBreak/>
        <w:t>To what extent should the Office for Students (</w:t>
      </w:r>
      <w:proofErr w:type="spellStart"/>
      <w:r w:rsidRPr="00E458FA">
        <w:rPr>
          <w:rFonts w:eastAsia="Times New Roman" w:cs="Arial"/>
          <w:szCs w:val="24"/>
        </w:rPr>
        <w:t>OfS</w:t>
      </w:r>
      <w:proofErr w:type="spellEnd"/>
      <w:r w:rsidRPr="00E458FA">
        <w:rPr>
          <w:rFonts w:eastAsia="Times New Roman" w:cs="Arial"/>
          <w:szCs w:val="24"/>
        </w:rPr>
        <w:t xml:space="preserve">) have the power to contract out its functions to separate bodies?  </w:t>
      </w:r>
    </w:p>
    <w:p w14:paraId="4554BAF5" w14:textId="77777777" w:rsidR="00E458FA" w:rsidRPr="00E458FA" w:rsidRDefault="00E458FA" w:rsidP="00E458FA">
      <w:pPr>
        <w:tabs>
          <w:tab w:val="left" w:pos="567"/>
        </w:tabs>
        <w:spacing w:after="288" w:line="240" w:lineRule="auto"/>
        <w:rPr>
          <w:rFonts w:eastAsia="Times New Roman" w:cs="Times New Roman"/>
          <w:szCs w:val="24"/>
        </w:rPr>
      </w:pPr>
      <w:r w:rsidRPr="00E458FA">
        <w:rPr>
          <w:rFonts w:eastAsia="Times New Roman" w:cs="Times New Roman"/>
          <w:szCs w:val="24"/>
        </w:rPr>
        <w:tab/>
      </w:r>
      <w:sdt>
        <w:sdtPr>
          <w:rPr>
            <w:rFonts w:ascii="MS Gothic" w:eastAsia="MS Gothic" w:hAnsi="MS Gothic" w:cs="Times New Roman"/>
            <w:szCs w:val="24"/>
          </w:rPr>
          <w:id w:val="1920902391"/>
        </w:sdtPr>
        <w:sdtEndPr/>
        <w:sdtContent>
          <w:r w:rsidR="003A47AF">
            <w:rPr>
              <w:rFonts w:ascii="MS Gothic" w:eastAsia="MS Gothic" w:hAnsi="MS Gothic" w:cs="Times New Roman" w:hint="eastAsia"/>
              <w:szCs w:val="24"/>
            </w:rPr>
            <w:t>☒</w:t>
          </w:r>
        </w:sdtContent>
      </w:sdt>
      <w:r w:rsidRPr="00E458FA">
        <w:rPr>
          <w:rFonts w:eastAsia="Times New Roman" w:cs="Times New Roman"/>
          <w:szCs w:val="24"/>
        </w:rPr>
        <w:t xml:space="preserve"> </w:t>
      </w:r>
      <w:proofErr w:type="gramStart"/>
      <w:r w:rsidRPr="00E458FA">
        <w:rPr>
          <w:rFonts w:eastAsia="Times New Roman" w:cs="Times New Roman"/>
          <w:szCs w:val="24"/>
        </w:rPr>
        <w:t>Fully</w:t>
      </w:r>
      <w:proofErr w:type="gramEnd"/>
      <w:r w:rsidRPr="00E458FA">
        <w:rPr>
          <w:rFonts w:eastAsia="Times New Roman" w:cs="Times New Roman"/>
          <w:szCs w:val="24"/>
        </w:rPr>
        <w:tab/>
      </w:r>
      <w:r w:rsidRPr="00E458FA">
        <w:rPr>
          <w:rFonts w:eastAsia="Times New Roman" w:cs="Times New Roman"/>
          <w:szCs w:val="24"/>
        </w:rPr>
        <w:tab/>
      </w:r>
      <w:sdt>
        <w:sdtPr>
          <w:rPr>
            <w:rFonts w:ascii="MS Gothic" w:eastAsia="MS Gothic" w:hAnsi="MS Gothic" w:cs="Times New Roman"/>
            <w:szCs w:val="24"/>
          </w:rPr>
          <w:id w:val="-16547384"/>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Partially</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ascii="MS Gothic" w:eastAsia="MS Gothic" w:hAnsi="MS Gothic" w:cs="Times New Roman"/>
            <w:szCs w:val="24"/>
          </w:rPr>
          <w:id w:val="701595152"/>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Not at all</w:t>
      </w:r>
    </w:p>
    <w:p w14:paraId="5E952FA7" w14:textId="77777777" w:rsidR="00E458FA" w:rsidRPr="00E458FA" w:rsidRDefault="00E458FA" w:rsidP="00E458FA">
      <w:pPr>
        <w:numPr>
          <w:ilvl w:val="0"/>
          <w:numId w:val="23"/>
        </w:numPr>
        <w:tabs>
          <w:tab w:val="left" w:pos="567"/>
        </w:tabs>
        <w:spacing w:after="288" w:line="240" w:lineRule="auto"/>
        <w:ind w:left="360" w:right="11"/>
        <w:rPr>
          <w:rFonts w:eastAsia="Times New Roman" w:cs="Arial"/>
          <w:szCs w:val="24"/>
        </w:rPr>
      </w:pPr>
      <w:r w:rsidRPr="00E458FA">
        <w:rPr>
          <w:rFonts w:eastAsia="Times New Roman" w:cs="Arial"/>
          <w:szCs w:val="24"/>
        </w:rPr>
        <w:t xml:space="preserve">If you agree, which functions should the </w:t>
      </w:r>
      <w:proofErr w:type="spellStart"/>
      <w:r w:rsidRPr="00E458FA">
        <w:rPr>
          <w:rFonts w:eastAsia="Times New Roman" w:cs="Arial"/>
          <w:szCs w:val="24"/>
        </w:rPr>
        <w:t>OfS</w:t>
      </w:r>
      <w:proofErr w:type="spellEnd"/>
      <w:r w:rsidRPr="00E458FA">
        <w:rPr>
          <w:rFonts w:eastAsia="Times New Roman" w:cs="Arial"/>
          <w:szCs w:val="24"/>
        </w:rPr>
        <w:t xml:space="preserve"> be able to contract out?</w:t>
      </w:r>
    </w:p>
    <w:p w14:paraId="1C521407" w14:textId="77777777" w:rsidR="00E458FA" w:rsidRPr="00FA4F3D" w:rsidRDefault="003A47AF" w:rsidP="005A4ABC">
      <w:pPr>
        <w:spacing w:after="288" w:line="240" w:lineRule="auto"/>
        <w:ind w:left="142"/>
        <w:rPr>
          <w:rFonts w:asciiTheme="minorHAnsi" w:eastAsia="Times New Roman" w:hAnsiTheme="minorHAnsi" w:cs="Arial"/>
          <w:szCs w:val="24"/>
        </w:rPr>
      </w:pPr>
      <w:r w:rsidRPr="00FA4F3D">
        <w:rPr>
          <w:rFonts w:asciiTheme="minorHAnsi" w:eastAsia="Times New Roman" w:hAnsiTheme="minorHAnsi" w:cs="Arial"/>
          <w:szCs w:val="24"/>
        </w:rPr>
        <w:t xml:space="preserve">The </w:t>
      </w:r>
      <w:proofErr w:type="spellStart"/>
      <w:r w:rsidRPr="00FA4F3D">
        <w:rPr>
          <w:rFonts w:asciiTheme="minorHAnsi" w:eastAsia="Times New Roman" w:hAnsiTheme="minorHAnsi" w:cs="Arial"/>
          <w:szCs w:val="24"/>
        </w:rPr>
        <w:t>OfS</w:t>
      </w:r>
      <w:proofErr w:type="spellEnd"/>
      <w:r w:rsidRPr="00FA4F3D">
        <w:rPr>
          <w:rFonts w:asciiTheme="minorHAnsi" w:eastAsia="Times New Roman" w:hAnsiTheme="minorHAnsi" w:cs="Arial"/>
          <w:szCs w:val="24"/>
        </w:rPr>
        <w:t xml:space="preserve"> should be required to contract out its responsibility for quality assessment.</w:t>
      </w:r>
      <w:r w:rsidR="0061482A" w:rsidRPr="00FA4F3D">
        <w:rPr>
          <w:rFonts w:asciiTheme="minorHAnsi" w:eastAsia="Times New Roman" w:hAnsiTheme="minorHAnsi" w:cs="Arial"/>
          <w:szCs w:val="24"/>
        </w:rPr>
        <w:t xml:space="preserve"> We do not agree that boards of governors are an appropriate mechanism to assume responsibility for quality assessment</w:t>
      </w:r>
      <w:r w:rsidR="00FA4F3D" w:rsidRPr="00FA4F3D">
        <w:rPr>
          <w:rFonts w:asciiTheme="minorHAnsi" w:eastAsia="Times New Roman" w:hAnsiTheme="minorHAnsi" w:cs="Arial"/>
          <w:szCs w:val="24"/>
        </w:rPr>
        <w:t xml:space="preserve"> (as proposed by HEFCE)</w:t>
      </w:r>
      <w:r w:rsidR="0061482A" w:rsidRPr="00FA4F3D">
        <w:rPr>
          <w:rFonts w:asciiTheme="minorHAnsi" w:eastAsia="Times New Roman" w:hAnsiTheme="minorHAnsi" w:cs="Arial"/>
          <w:szCs w:val="24"/>
        </w:rPr>
        <w:t>. We have grave concerns that this would lead to inconsistency and inequality within the sector. The strength of the Quality Assurance Agency lies in its independence and its ability, through that independence, to co-regulate effectively with the sector.</w:t>
      </w:r>
    </w:p>
    <w:p w14:paraId="13D71BC6" w14:textId="77777777" w:rsidR="00D35A8E" w:rsidRPr="00FA4F3D" w:rsidRDefault="00D35A8E" w:rsidP="00D35A8E">
      <w:pPr>
        <w:pStyle w:val="CommentText"/>
        <w:ind w:left="142"/>
        <w:rPr>
          <w:rFonts w:asciiTheme="minorHAnsi" w:eastAsia="Times New Roman" w:hAnsiTheme="minorHAnsi" w:cs="Arial"/>
          <w:sz w:val="24"/>
          <w:szCs w:val="24"/>
        </w:rPr>
      </w:pPr>
      <w:r w:rsidRPr="00FA4F3D">
        <w:rPr>
          <w:rFonts w:asciiTheme="minorHAnsi" w:eastAsia="Times New Roman" w:hAnsiTheme="minorHAnsi" w:cs="Arial"/>
          <w:sz w:val="24"/>
          <w:szCs w:val="24"/>
        </w:rPr>
        <w:t>However, we should guard against too much contracting out as this would not lead to a simplification of the HE architecture.</w:t>
      </w:r>
    </w:p>
    <w:p w14:paraId="3E513C7E" w14:textId="77777777" w:rsidR="005A4ABC" w:rsidRPr="00FA4F3D" w:rsidRDefault="005A4ABC" w:rsidP="005A4ABC">
      <w:pPr>
        <w:pStyle w:val="CommentText"/>
        <w:ind w:firstLine="142"/>
        <w:rPr>
          <w:rFonts w:asciiTheme="minorHAnsi" w:eastAsia="Times New Roman" w:hAnsiTheme="minorHAnsi" w:cs="Arial"/>
          <w:sz w:val="24"/>
          <w:szCs w:val="24"/>
        </w:rPr>
      </w:pPr>
      <w:r w:rsidRPr="00FA4F3D">
        <w:rPr>
          <w:rFonts w:asciiTheme="minorHAnsi" w:eastAsia="Times New Roman" w:hAnsiTheme="minorHAnsi" w:cs="Arial"/>
          <w:sz w:val="24"/>
          <w:szCs w:val="24"/>
        </w:rPr>
        <w:t>Funding decisions and quality assessment should continue to remain se</w:t>
      </w:r>
      <w:r w:rsidR="008023B2" w:rsidRPr="00FA4F3D">
        <w:rPr>
          <w:rFonts w:asciiTheme="minorHAnsi" w:eastAsia="Times New Roman" w:hAnsiTheme="minorHAnsi" w:cs="Arial"/>
          <w:sz w:val="24"/>
          <w:szCs w:val="24"/>
        </w:rPr>
        <w:t>parate.</w:t>
      </w:r>
    </w:p>
    <w:p w14:paraId="4D8A8524" w14:textId="77777777" w:rsidR="008023B2" w:rsidRPr="00FA4F3D" w:rsidRDefault="008023B2" w:rsidP="008023B2">
      <w:pPr>
        <w:pStyle w:val="CommentText"/>
        <w:ind w:left="142"/>
        <w:rPr>
          <w:rFonts w:asciiTheme="minorHAnsi" w:eastAsia="Times New Roman" w:hAnsiTheme="minorHAnsi" w:cs="Arial"/>
          <w:sz w:val="24"/>
          <w:szCs w:val="24"/>
        </w:rPr>
      </w:pPr>
      <w:r w:rsidRPr="00FA4F3D">
        <w:rPr>
          <w:rFonts w:asciiTheme="minorHAnsi" w:eastAsia="Times New Roman" w:hAnsiTheme="minorHAnsi" w:cs="Arial"/>
          <w:sz w:val="24"/>
          <w:szCs w:val="24"/>
        </w:rPr>
        <w:t>If we accept that some changes are going to be made it makes no sense to transform the whole landscape at once. In order to change the architecture you still need some of those foundations and key services to be in place otherwise you’ll never get the buildings up.</w:t>
      </w:r>
    </w:p>
    <w:p w14:paraId="562287F9" w14:textId="77777777" w:rsidR="00E458FA" w:rsidRPr="00D85185" w:rsidRDefault="00E458FA" w:rsidP="00E458FA">
      <w:pPr>
        <w:numPr>
          <w:ilvl w:val="0"/>
          <w:numId w:val="23"/>
        </w:numPr>
        <w:tabs>
          <w:tab w:val="left" w:pos="567"/>
        </w:tabs>
        <w:spacing w:after="288" w:line="240" w:lineRule="auto"/>
        <w:ind w:left="360" w:right="11"/>
        <w:rPr>
          <w:rFonts w:eastAsia="Times New Roman" w:cs="Arial"/>
          <w:i/>
          <w:szCs w:val="24"/>
        </w:rPr>
      </w:pPr>
      <w:r w:rsidRPr="00D85185">
        <w:rPr>
          <w:rFonts w:eastAsia="Times New Roman" w:cs="Arial"/>
          <w:i/>
          <w:szCs w:val="24"/>
        </w:rPr>
        <w:t>What are your views on the proposed options for allocating Teaching Grant?</w:t>
      </w:r>
    </w:p>
    <w:p w14:paraId="05C749C1" w14:textId="77777777" w:rsidR="00E458FA" w:rsidRPr="00D85185" w:rsidRDefault="00E458FA" w:rsidP="00E458FA">
      <w:pPr>
        <w:tabs>
          <w:tab w:val="left" w:pos="567"/>
        </w:tabs>
        <w:spacing w:after="288" w:line="240" w:lineRule="auto"/>
        <w:ind w:left="142" w:right="11"/>
        <w:rPr>
          <w:rFonts w:eastAsia="Times New Roman" w:cs="Arial"/>
          <w:i/>
          <w:szCs w:val="24"/>
        </w:rPr>
      </w:pPr>
      <w:r w:rsidRPr="00D85185">
        <w:rPr>
          <w:rFonts w:eastAsia="Times New Roman" w:cs="Arial"/>
          <w:i/>
          <w:szCs w:val="24"/>
        </w:rPr>
        <w:t>Option 1: BIS Ministers set strategic priorities and BIS officials determine formula.</w:t>
      </w:r>
    </w:p>
    <w:p w14:paraId="496532FA" w14:textId="77777777" w:rsidR="00E458FA" w:rsidRDefault="00971BC8" w:rsidP="00E458FA">
      <w:pPr>
        <w:spacing w:after="288" w:line="240" w:lineRule="auto"/>
        <w:ind w:firstLine="720"/>
        <w:rPr>
          <w:rFonts w:eastAsia="Times New Roman" w:cs="Times New Roman"/>
          <w:i/>
          <w:szCs w:val="24"/>
        </w:rPr>
      </w:pPr>
      <w:sdt>
        <w:sdtPr>
          <w:rPr>
            <w:rFonts w:eastAsia="Times New Roman" w:cs="Times New Roman"/>
            <w:i/>
            <w:szCs w:val="24"/>
          </w:rPr>
          <w:id w:val="1815599012"/>
        </w:sdtPr>
        <w:sdtEndPr/>
        <w:sdtContent>
          <w:r w:rsidR="006C7C6B" w:rsidRPr="00D85185">
            <w:rPr>
              <w:rFonts w:ascii="MS Gothic" w:eastAsia="MS Gothic" w:hAnsi="MS Gothic" w:cs="Times New Roman" w:hint="eastAsia"/>
              <w:i/>
              <w:szCs w:val="24"/>
            </w:rPr>
            <w:t>☐</w:t>
          </w:r>
        </w:sdtContent>
      </w:sdt>
      <w:r w:rsidR="00E458FA" w:rsidRPr="00D85185">
        <w:rPr>
          <w:rFonts w:eastAsia="Times New Roman" w:cs="Times New Roman"/>
          <w:i/>
          <w:szCs w:val="24"/>
        </w:rPr>
        <w:t xml:space="preserve"> Agree</w:t>
      </w:r>
      <w:r w:rsidR="00E458FA" w:rsidRPr="00D85185">
        <w:rPr>
          <w:rFonts w:eastAsia="Times New Roman" w:cs="Times New Roman"/>
          <w:i/>
          <w:szCs w:val="24"/>
        </w:rPr>
        <w:tab/>
      </w:r>
      <w:r w:rsidR="00E458FA" w:rsidRPr="00D85185">
        <w:rPr>
          <w:rFonts w:eastAsia="Times New Roman" w:cs="Times New Roman"/>
          <w:i/>
          <w:szCs w:val="24"/>
        </w:rPr>
        <w:tab/>
      </w:r>
      <w:sdt>
        <w:sdtPr>
          <w:rPr>
            <w:rFonts w:eastAsia="Times New Roman" w:cs="Times New Roman"/>
            <w:i/>
            <w:szCs w:val="24"/>
          </w:rPr>
          <w:id w:val="1659104861"/>
        </w:sdtPr>
        <w:sdtEndPr/>
        <w:sdtContent>
          <w:r w:rsidR="00135140">
            <w:rPr>
              <w:rFonts w:ascii="MS Gothic" w:eastAsia="MS Gothic" w:hAnsi="MS Gothic" w:cs="Times New Roman" w:hint="eastAsia"/>
              <w:i/>
              <w:szCs w:val="24"/>
            </w:rPr>
            <w:t>☐</w:t>
          </w:r>
        </w:sdtContent>
      </w:sdt>
      <w:r w:rsidR="00E458FA" w:rsidRPr="00D85185">
        <w:rPr>
          <w:rFonts w:eastAsia="Times New Roman" w:cs="Times New Roman"/>
          <w:i/>
          <w:szCs w:val="24"/>
        </w:rPr>
        <w:t xml:space="preserve"> Disagree</w:t>
      </w:r>
      <w:r w:rsidR="00E458FA" w:rsidRPr="00D85185">
        <w:rPr>
          <w:rFonts w:eastAsia="Times New Roman" w:cs="Times New Roman"/>
          <w:i/>
          <w:szCs w:val="24"/>
        </w:rPr>
        <w:tab/>
      </w:r>
      <w:r w:rsidR="00E458FA" w:rsidRPr="00D85185">
        <w:rPr>
          <w:rFonts w:eastAsia="Times New Roman" w:cs="Times New Roman"/>
          <w:i/>
          <w:szCs w:val="24"/>
        </w:rPr>
        <w:tab/>
      </w:r>
      <w:r w:rsidR="00E458FA" w:rsidRPr="00D85185">
        <w:rPr>
          <w:rFonts w:eastAsia="Times New Roman" w:cs="Times New Roman"/>
          <w:i/>
          <w:szCs w:val="24"/>
        </w:rPr>
        <w:tab/>
      </w:r>
      <w:sdt>
        <w:sdtPr>
          <w:rPr>
            <w:rFonts w:eastAsia="Times New Roman" w:cs="Times New Roman"/>
            <w:i/>
            <w:szCs w:val="24"/>
          </w:rPr>
          <w:id w:val="1535004148"/>
        </w:sdtPr>
        <w:sdtEndPr/>
        <w:sdtContent>
          <w:r w:rsidR="00E458FA" w:rsidRPr="00D85185">
            <w:rPr>
              <w:rFonts w:ascii="MS Gothic" w:eastAsia="MS Gothic" w:hAnsi="MS Gothic" w:cs="MS Gothic" w:hint="eastAsia"/>
              <w:i/>
              <w:szCs w:val="24"/>
            </w:rPr>
            <w:t>☐</w:t>
          </w:r>
        </w:sdtContent>
      </w:sdt>
      <w:r w:rsidR="00E458FA" w:rsidRPr="00D85185">
        <w:rPr>
          <w:rFonts w:eastAsia="Times New Roman" w:cs="Times New Roman"/>
          <w:i/>
          <w:szCs w:val="24"/>
        </w:rPr>
        <w:t xml:space="preserve"> Not sure</w:t>
      </w:r>
    </w:p>
    <w:p w14:paraId="4A616DB2" w14:textId="77777777" w:rsidR="00E458FA" w:rsidRPr="00D85185" w:rsidRDefault="00E458FA" w:rsidP="00E458FA">
      <w:pPr>
        <w:tabs>
          <w:tab w:val="left" w:pos="567"/>
        </w:tabs>
        <w:spacing w:after="288" w:line="240" w:lineRule="auto"/>
        <w:ind w:left="142" w:right="11"/>
        <w:rPr>
          <w:rFonts w:eastAsia="Times New Roman" w:cs="Arial"/>
          <w:i/>
          <w:szCs w:val="24"/>
        </w:rPr>
      </w:pPr>
      <w:r w:rsidRPr="00D85185">
        <w:rPr>
          <w:rFonts w:eastAsia="Times New Roman" w:cs="Arial"/>
          <w:i/>
          <w:szCs w:val="24"/>
        </w:rPr>
        <w:t xml:space="preserve">Option 2: BIS Minister sets strategic priorities and allocation responsibilities divested to </w:t>
      </w:r>
      <w:proofErr w:type="spellStart"/>
      <w:r w:rsidRPr="00D85185">
        <w:rPr>
          <w:rFonts w:eastAsia="Times New Roman" w:cs="Arial"/>
          <w:i/>
          <w:szCs w:val="24"/>
        </w:rPr>
        <w:t>OfS</w:t>
      </w:r>
      <w:proofErr w:type="spellEnd"/>
    </w:p>
    <w:p w14:paraId="16BA2D71" w14:textId="77777777" w:rsidR="00E458FA" w:rsidRPr="00D85185" w:rsidRDefault="00971BC8" w:rsidP="00E458FA">
      <w:pPr>
        <w:spacing w:after="288" w:line="240" w:lineRule="auto"/>
        <w:ind w:firstLine="720"/>
        <w:rPr>
          <w:rFonts w:eastAsia="Times New Roman" w:cs="Times New Roman"/>
          <w:i/>
          <w:szCs w:val="24"/>
        </w:rPr>
      </w:pPr>
      <w:sdt>
        <w:sdtPr>
          <w:rPr>
            <w:rFonts w:eastAsia="Times New Roman" w:cs="Times New Roman"/>
            <w:i/>
            <w:szCs w:val="24"/>
          </w:rPr>
          <w:id w:val="-1252809423"/>
        </w:sdtPr>
        <w:sdtEndPr/>
        <w:sdtContent>
          <w:r w:rsidR="00135140">
            <w:rPr>
              <w:rFonts w:ascii="MS Gothic" w:eastAsia="MS Gothic" w:hAnsi="MS Gothic" w:cs="Times New Roman" w:hint="eastAsia"/>
              <w:i/>
              <w:szCs w:val="24"/>
            </w:rPr>
            <w:t>☐</w:t>
          </w:r>
        </w:sdtContent>
      </w:sdt>
      <w:r w:rsidR="00E458FA" w:rsidRPr="00D85185">
        <w:rPr>
          <w:rFonts w:eastAsia="Times New Roman" w:cs="Times New Roman"/>
          <w:i/>
          <w:szCs w:val="24"/>
        </w:rPr>
        <w:t xml:space="preserve"> Agree</w:t>
      </w:r>
      <w:r w:rsidR="00E458FA" w:rsidRPr="00D85185">
        <w:rPr>
          <w:rFonts w:eastAsia="Times New Roman" w:cs="Times New Roman"/>
          <w:i/>
          <w:szCs w:val="24"/>
        </w:rPr>
        <w:tab/>
      </w:r>
      <w:r w:rsidR="00E458FA" w:rsidRPr="00D85185">
        <w:rPr>
          <w:rFonts w:eastAsia="Times New Roman" w:cs="Times New Roman"/>
          <w:i/>
          <w:szCs w:val="24"/>
        </w:rPr>
        <w:tab/>
      </w:r>
      <w:sdt>
        <w:sdtPr>
          <w:rPr>
            <w:rFonts w:eastAsia="Times New Roman" w:cs="Times New Roman"/>
            <w:i/>
            <w:szCs w:val="24"/>
          </w:rPr>
          <w:id w:val="-1195371255"/>
        </w:sdtPr>
        <w:sdtEndPr/>
        <w:sdtContent>
          <w:r w:rsidR="00E458FA" w:rsidRPr="00D85185">
            <w:rPr>
              <w:rFonts w:ascii="MS Gothic" w:eastAsia="MS Gothic" w:hAnsi="MS Gothic" w:cs="MS Gothic" w:hint="eastAsia"/>
              <w:i/>
              <w:szCs w:val="24"/>
            </w:rPr>
            <w:t>☐</w:t>
          </w:r>
        </w:sdtContent>
      </w:sdt>
      <w:r w:rsidR="00E458FA" w:rsidRPr="00D85185">
        <w:rPr>
          <w:rFonts w:eastAsia="Times New Roman" w:cs="Times New Roman"/>
          <w:i/>
          <w:szCs w:val="24"/>
        </w:rPr>
        <w:t xml:space="preserve"> Disagree</w:t>
      </w:r>
      <w:r w:rsidR="00E458FA" w:rsidRPr="00D85185">
        <w:rPr>
          <w:rFonts w:eastAsia="Times New Roman" w:cs="Times New Roman"/>
          <w:i/>
          <w:szCs w:val="24"/>
        </w:rPr>
        <w:tab/>
      </w:r>
      <w:r w:rsidR="00E458FA" w:rsidRPr="00D85185">
        <w:rPr>
          <w:rFonts w:eastAsia="Times New Roman" w:cs="Times New Roman"/>
          <w:i/>
          <w:szCs w:val="24"/>
        </w:rPr>
        <w:tab/>
      </w:r>
      <w:r w:rsidR="00E458FA" w:rsidRPr="00D85185">
        <w:rPr>
          <w:rFonts w:eastAsia="Times New Roman" w:cs="Times New Roman"/>
          <w:i/>
          <w:szCs w:val="24"/>
        </w:rPr>
        <w:tab/>
      </w:r>
      <w:sdt>
        <w:sdtPr>
          <w:rPr>
            <w:rFonts w:eastAsia="Times New Roman" w:cs="Times New Roman"/>
            <w:i/>
            <w:szCs w:val="24"/>
          </w:rPr>
          <w:id w:val="-525562819"/>
        </w:sdtPr>
        <w:sdtEndPr/>
        <w:sdtContent>
          <w:r w:rsidR="00E458FA" w:rsidRPr="00D85185">
            <w:rPr>
              <w:rFonts w:ascii="MS Gothic" w:eastAsia="MS Gothic" w:hAnsi="MS Gothic" w:cs="MS Gothic" w:hint="eastAsia"/>
              <w:i/>
              <w:szCs w:val="24"/>
            </w:rPr>
            <w:t>☐</w:t>
          </w:r>
        </w:sdtContent>
      </w:sdt>
      <w:r w:rsidR="00E458FA" w:rsidRPr="00D85185">
        <w:rPr>
          <w:rFonts w:eastAsia="Times New Roman" w:cs="Times New Roman"/>
          <w:i/>
          <w:szCs w:val="24"/>
        </w:rPr>
        <w:t xml:space="preserve"> Not sure</w:t>
      </w:r>
    </w:p>
    <w:p w14:paraId="7F6E117A" w14:textId="77777777" w:rsidR="00E458FA" w:rsidRPr="00D85185" w:rsidRDefault="00E458FA" w:rsidP="00E458FA">
      <w:pPr>
        <w:tabs>
          <w:tab w:val="left" w:pos="567"/>
        </w:tabs>
        <w:spacing w:after="288" w:line="240" w:lineRule="auto"/>
        <w:ind w:left="142" w:right="11"/>
        <w:rPr>
          <w:rFonts w:eastAsia="Times New Roman" w:cs="Arial"/>
          <w:i/>
          <w:szCs w:val="24"/>
        </w:rPr>
      </w:pPr>
      <w:r w:rsidRPr="00D85185">
        <w:rPr>
          <w:rFonts w:eastAsia="Times New Roman" w:cs="Arial"/>
          <w:i/>
          <w:szCs w:val="24"/>
        </w:rPr>
        <w:t>Please give reasons for your answer,</w:t>
      </w:r>
    </w:p>
    <w:p w14:paraId="3CA175D3" w14:textId="77777777" w:rsidR="00E458FA" w:rsidRPr="0015550E" w:rsidRDefault="00E458FA" w:rsidP="00E458FA">
      <w:pPr>
        <w:tabs>
          <w:tab w:val="left" w:pos="567"/>
        </w:tabs>
        <w:spacing w:after="288" w:line="240" w:lineRule="auto"/>
        <w:ind w:left="142" w:right="11"/>
        <w:rPr>
          <w:rFonts w:eastAsia="Times New Roman" w:cs="Arial"/>
          <w:i/>
          <w:szCs w:val="24"/>
        </w:rPr>
      </w:pPr>
      <w:r w:rsidRPr="0015550E">
        <w:rPr>
          <w:rFonts w:eastAsia="Times New Roman" w:cs="Arial"/>
          <w:i/>
          <w:szCs w:val="24"/>
        </w:rPr>
        <w:t xml:space="preserve">Question 19: Do you agree with the proposal for a single, transparent and light touch regulatory framework for every higher education provider?  </w:t>
      </w:r>
    </w:p>
    <w:p w14:paraId="1931E6E9" w14:textId="77777777" w:rsidR="00E458FA" w:rsidRPr="0015550E" w:rsidRDefault="00E458FA" w:rsidP="00E458FA">
      <w:pPr>
        <w:tabs>
          <w:tab w:val="left" w:pos="567"/>
        </w:tabs>
        <w:spacing w:after="288" w:line="240" w:lineRule="auto"/>
        <w:ind w:left="142"/>
        <w:rPr>
          <w:rFonts w:eastAsia="Times New Roman" w:cs="Times New Roman"/>
          <w:i/>
          <w:szCs w:val="24"/>
        </w:rPr>
      </w:pPr>
      <w:r w:rsidRPr="0015550E">
        <w:rPr>
          <w:rFonts w:eastAsia="Times New Roman" w:cs="Times New Roman"/>
          <w:i/>
          <w:szCs w:val="24"/>
        </w:rPr>
        <w:t xml:space="preserve">      </w:t>
      </w:r>
      <w:sdt>
        <w:sdtPr>
          <w:rPr>
            <w:rFonts w:eastAsia="Times New Roman" w:cs="Times New Roman"/>
            <w:i/>
            <w:szCs w:val="24"/>
          </w:rPr>
          <w:id w:val="1952740566"/>
        </w:sdtPr>
        <w:sdtEndPr/>
        <w:sdtContent>
          <w:r w:rsidRPr="0015550E">
            <w:rPr>
              <w:rFonts w:ascii="MS Gothic" w:eastAsia="MS Gothic" w:hAnsi="MS Gothic" w:cs="MS Gothic" w:hint="eastAsia"/>
              <w:i/>
              <w:szCs w:val="24"/>
            </w:rPr>
            <w:t>☐</w:t>
          </w:r>
        </w:sdtContent>
      </w:sdt>
      <w:r w:rsidRPr="0015550E">
        <w:rPr>
          <w:rFonts w:eastAsia="Times New Roman" w:cs="Times New Roman"/>
          <w:i/>
          <w:szCs w:val="24"/>
        </w:rPr>
        <w:t xml:space="preserve"> Yes</w:t>
      </w:r>
      <w:r w:rsidRPr="0015550E">
        <w:rPr>
          <w:rFonts w:eastAsia="Times New Roman" w:cs="Times New Roman"/>
          <w:i/>
          <w:szCs w:val="24"/>
        </w:rPr>
        <w:tab/>
      </w:r>
      <w:r w:rsidRPr="0015550E">
        <w:rPr>
          <w:rFonts w:eastAsia="Times New Roman" w:cs="Times New Roman"/>
          <w:i/>
          <w:szCs w:val="24"/>
        </w:rPr>
        <w:tab/>
      </w:r>
      <w:sdt>
        <w:sdtPr>
          <w:rPr>
            <w:rFonts w:eastAsia="Times New Roman" w:cs="Times New Roman"/>
            <w:i/>
            <w:szCs w:val="24"/>
          </w:rPr>
          <w:id w:val="-1921630910"/>
        </w:sdtPr>
        <w:sdtEndPr/>
        <w:sdtContent>
          <w:r w:rsidRPr="0015550E">
            <w:rPr>
              <w:rFonts w:ascii="MS Gothic" w:eastAsia="MS Gothic" w:hAnsi="MS Gothic" w:cs="MS Gothic" w:hint="eastAsia"/>
              <w:i/>
              <w:szCs w:val="24"/>
            </w:rPr>
            <w:t>☐</w:t>
          </w:r>
        </w:sdtContent>
      </w:sdt>
      <w:r w:rsidRPr="0015550E">
        <w:rPr>
          <w:rFonts w:eastAsia="Times New Roman" w:cs="Times New Roman"/>
          <w:i/>
          <w:szCs w:val="24"/>
        </w:rPr>
        <w:t xml:space="preserve"> No</w:t>
      </w:r>
      <w:r w:rsidRPr="0015550E">
        <w:rPr>
          <w:rFonts w:eastAsia="Times New Roman" w:cs="Times New Roman"/>
          <w:i/>
          <w:szCs w:val="24"/>
        </w:rPr>
        <w:tab/>
      </w:r>
      <w:r w:rsidRPr="0015550E">
        <w:rPr>
          <w:rFonts w:eastAsia="Times New Roman" w:cs="Times New Roman"/>
          <w:i/>
          <w:szCs w:val="24"/>
        </w:rPr>
        <w:tab/>
      </w:r>
      <w:r w:rsidRPr="0015550E">
        <w:rPr>
          <w:rFonts w:eastAsia="Times New Roman" w:cs="Times New Roman"/>
          <w:i/>
          <w:szCs w:val="24"/>
        </w:rPr>
        <w:tab/>
      </w:r>
      <w:sdt>
        <w:sdtPr>
          <w:rPr>
            <w:rFonts w:eastAsia="Times New Roman" w:cs="Times New Roman"/>
            <w:i/>
            <w:szCs w:val="24"/>
          </w:rPr>
          <w:id w:val="1384293363"/>
        </w:sdtPr>
        <w:sdtEndPr/>
        <w:sdtContent>
          <w:r w:rsidR="003A47AF" w:rsidRPr="0015550E">
            <w:rPr>
              <w:rFonts w:ascii="MS Gothic" w:eastAsia="MS Gothic" w:hAnsi="MS Gothic" w:cs="Times New Roman" w:hint="eastAsia"/>
              <w:i/>
              <w:szCs w:val="24"/>
            </w:rPr>
            <w:t>☒</w:t>
          </w:r>
        </w:sdtContent>
      </w:sdt>
      <w:r w:rsidRPr="0015550E">
        <w:rPr>
          <w:rFonts w:eastAsia="Times New Roman" w:cs="Times New Roman"/>
          <w:i/>
          <w:szCs w:val="24"/>
        </w:rPr>
        <w:t xml:space="preserve"> </w:t>
      </w:r>
      <w:proofErr w:type="gramStart"/>
      <w:r w:rsidRPr="0015550E">
        <w:rPr>
          <w:rFonts w:eastAsia="Times New Roman" w:cs="Times New Roman"/>
          <w:i/>
          <w:szCs w:val="24"/>
        </w:rPr>
        <w:t>Not</w:t>
      </w:r>
      <w:proofErr w:type="gramEnd"/>
      <w:r w:rsidRPr="0015550E">
        <w:rPr>
          <w:rFonts w:eastAsia="Times New Roman" w:cs="Times New Roman"/>
          <w:i/>
          <w:szCs w:val="24"/>
        </w:rPr>
        <w:t xml:space="preserve"> sure</w:t>
      </w:r>
    </w:p>
    <w:p w14:paraId="2A744885" w14:textId="77777777" w:rsidR="00E458FA" w:rsidRPr="0015550E" w:rsidRDefault="00E458FA" w:rsidP="00E458FA">
      <w:pPr>
        <w:tabs>
          <w:tab w:val="left" w:pos="567"/>
        </w:tabs>
        <w:spacing w:after="288" w:line="240" w:lineRule="auto"/>
        <w:ind w:left="142" w:right="11"/>
        <w:rPr>
          <w:rFonts w:eastAsia="Times New Roman" w:cs="Arial"/>
          <w:i/>
          <w:szCs w:val="24"/>
        </w:rPr>
      </w:pPr>
    </w:p>
    <w:p w14:paraId="4A0EE1EB" w14:textId="77777777" w:rsidR="00E458FA" w:rsidRPr="0015550E" w:rsidRDefault="00E458FA" w:rsidP="00E458FA">
      <w:pPr>
        <w:tabs>
          <w:tab w:val="left" w:pos="567"/>
        </w:tabs>
        <w:spacing w:after="288" w:line="240" w:lineRule="auto"/>
        <w:ind w:left="142" w:right="11"/>
        <w:rPr>
          <w:rFonts w:eastAsia="Times New Roman" w:cs="Arial"/>
          <w:i/>
          <w:szCs w:val="24"/>
        </w:rPr>
      </w:pPr>
      <w:r w:rsidRPr="0015550E">
        <w:rPr>
          <w:rFonts w:eastAsia="Times New Roman" w:cs="Arial"/>
          <w:i/>
          <w:szCs w:val="24"/>
        </w:rPr>
        <w:t>Please give reasons for your answer, including how the proposed framework would change the burden on providers.  Please quantify the benefits and/or costs where possible.</w:t>
      </w:r>
    </w:p>
    <w:p w14:paraId="37FDD8C7" w14:textId="77777777" w:rsidR="00E458FA" w:rsidRPr="00060171" w:rsidRDefault="008023B2" w:rsidP="008023B2">
      <w:pPr>
        <w:pStyle w:val="CommentText"/>
        <w:ind w:firstLine="142"/>
        <w:rPr>
          <w:rFonts w:asciiTheme="minorHAnsi" w:eastAsia="Times New Roman" w:hAnsiTheme="minorHAnsi" w:cs="Arial"/>
          <w:sz w:val="24"/>
          <w:szCs w:val="24"/>
        </w:rPr>
      </w:pPr>
      <w:r w:rsidRPr="00060171">
        <w:rPr>
          <w:rFonts w:asciiTheme="minorHAnsi" w:eastAsia="Times New Roman" w:hAnsiTheme="minorHAnsi" w:cs="Arial"/>
          <w:sz w:val="24"/>
          <w:szCs w:val="24"/>
        </w:rPr>
        <w:t>These have been outlined in the comments above</w:t>
      </w:r>
      <w:r w:rsidR="00060171">
        <w:rPr>
          <w:rFonts w:asciiTheme="minorHAnsi" w:eastAsia="Times New Roman" w:hAnsiTheme="minorHAnsi" w:cs="Arial"/>
          <w:sz w:val="24"/>
          <w:szCs w:val="24"/>
        </w:rPr>
        <w:t>.</w:t>
      </w:r>
    </w:p>
    <w:p w14:paraId="20720D0E" w14:textId="77777777"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lastRenderedPageBreak/>
        <w:t>Question 20: What steps could be taken to increase the transparency of student unions and strengthen unions’ accountability to their student members?</w:t>
      </w:r>
    </w:p>
    <w:p w14:paraId="526BA5DB" w14:textId="77777777" w:rsidR="00E458FA" w:rsidRPr="00060171" w:rsidRDefault="00E010C6" w:rsidP="00E458FA">
      <w:pPr>
        <w:tabs>
          <w:tab w:val="left" w:pos="567"/>
        </w:tabs>
        <w:spacing w:after="288" w:line="240" w:lineRule="auto"/>
        <w:ind w:left="142" w:right="11"/>
        <w:rPr>
          <w:rFonts w:asciiTheme="minorHAnsi" w:eastAsia="Times New Roman" w:hAnsiTheme="minorHAnsi" w:cs="Arial"/>
          <w:szCs w:val="24"/>
        </w:rPr>
      </w:pPr>
      <w:r w:rsidRPr="00060171">
        <w:rPr>
          <w:rFonts w:asciiTheme="minorHAnsi" w:eastAsia="Times New Roman" w:hAnsiTheme="minorHAnsi" w:cs="Arial"/>
          <w:szCs w:val="24"/>
        </w:rPr>
        <w:t xml:space="preserve">We are not clear how this relates to the idea of </w:t>
      </w:r>
      <w:r w:rsidR="00800A40" w:rsidRPr="00060171">
        <w:rPr>
          <w:rFonts w:asciiTheme="minorHAnsi" w:eastAsia="Times New Roman" w:hAnsiTheme="minorHAnsi" w:cs="Arial"/>
          <w:szCs w:val="24"/>
        </w:rPr>
        <w:t>a teaching excellence framework and the higher education architecture.</w:t>
      </w:r>
    </w:p>
    <w:p w14:paraId="06C69F40" w14:textId="77777777" w:rsidR="00BB6120" w:rsidRPr="00060171" w:rsidRDefault="00BB6120" w:rsidP="00BB6120">
      <w:pPr>
        <w:pStyle w:val="CommentText"/>
        <w:ind w:left="142"/>
        <w:rPr>
          <w:rFonts w:asciiTheme="minorHAnsi" w:eastAsia="Times New Roman" w:hAnsiTheme="minorHAnsi" w:cs="Arial"/>
          <w:sz w:val="24"/>
          <w:szCs w:val="24"/>
        </w:rPr>
      </w:pPr>
      <w:r w:rsidRPr="00060171">
        <w:rPr>
          <w:rFonts w:asciiTheme="minorHAnsi" w:eastAsia="Times New Roman" w:hAnsiTheme="minorHAnsi" w:cs="Arial"/>
          <w:sz w:val="24"/>
          <w:szCs w:val="24"/>
        </w:rPr>
        <w:t>We think that the Student Unions are reasonably accountable to members already and any changes need to continue to support the useful functions of students unions in representing the student voice.</w:t>
      </w:r>
      <w:r w:rsidR="00060171">
        <w:rPr>
          <w:rFonts w:asciiTheme="minorHAnsi" w:eastAsia="Times New Roman" w:hAnsiTheme="minorHAnsi" w:cs="Arial"/>
          <w:sz w:val="24"/>
          <w:szCs w:val="24"/>
        </w:rPr>
        <w:t xml:space="preserve">  This is a matter for governing bodies and should be left to them to manage.</w:t>
      </w:r>
    </w:p>
    <w:p w14:paraId="0CD801D1" w14:textId="77777777"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Question 21:</w:t>
      </w:r>
    </w:p>
    <w:p w14:paraId="55CA5ECE" w14:textId="77777777" w:rsidR="00E458FA" w:rsidRPr="00E458FA" w:rsidRDefault="00E458FA" w:rsidP="00E458FA">
      <w:pPr>
        <w:numPr>
          <w:ilvl w:val="0"/>
          <w:numId w:val="24"/>
        </w:numPr>
        <w:tabs>
          <w:tab w:val="left" w:pos="567"/>
        </w:tabs>
        <w:spacing w:after="288" w:line="240" w:lineRule="auto"/>
        <w:ind w:right="11"/>
        <w:rPr>
          <w:rFonts w:eastAsia="Times New Roman" w:cs="Arial"/>
          <w:szCs w:val="24"/>
        </w:rPr>
      </w:pPr>
      <w:r w:rsidRPr="00E458FA">
        <w:rPr>
          <w:rFonts w:eastAsia="Times New Roman" w:cs="Arial"/>
          <w:szCs w:val="24"/>
        </w:rPr>
        <w:t xml:space="preserve">Do you agree with the proposed duties and powers of the Office for Students?  </w:t>
      </w:r>
    </w:p>
    <w:p w14:paraId="4FA3E14C" w14:textId="77777777" w:rsidR="00E458FA" w:rsidRPr="00E458FA" w:rsidRDefault="00E458FA" w:rsidP="00E458FA">
      <w:pPr>
        <w:tabs>
          <w:tab w:val="left" w:pos="567"/>
        </w:tabs>
        <w:spacing w:after="288" w:line="240" w:lineRule="auto"/>
        <w:ind w:left="142"/>
        <w:rPr>
          <w:rFonts w:eastAsia="Times New Roman" w:cs="Times New Roman"/>
          <w:szCs w:val="24"/>
        </w:rPr>
      </w:pPr>
      <w:r w:rsidRPr="00E458FA">
        <w:rPr>
          <w:rFonts w:eastAsia="Times New Roman" w:cs="Times New Roman"/>
          <w:szCs w:val="24"/>
        </w:rPr>
        <w:t xml:space="preserve">      </w:t>
      </w:r>
      <w:sdt>
        <w:sdtPr>
          <w:rPr>
            <w:rFonts w:ascii="MS Gothic" w:eastAsia="MS Gothic" w:hAnsi="MS Gothic" w:cs="Times New Roman"/>
            <w:szCs w:val="24"/>
          </w:rPr>
          <w:id w:val="-960189894"/>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Yes</w:t>
      </w:r>
      <w:r w:rsidRPr="00E458FA">
        <w:rPr>
          <w:rFonts w:eastAsia="Times New Roman" w:cs="Times New Roman"/>
          <w:szCs w:val="24"/>
        </w:rPr>
        <w:tab/>
      </w:r>
      <w:r w:rsidRPr="00E458FA">
        <w:rPr>
          <w:rFonts w:eastAsia="Times New Roman" w:cs="Times New Roman"/>
          <w:szCs w:val="24"/>
        </w:rPr>
        <w:tab/>
      </w:r>
      <w:sdt>
        <w:sdtPr>
          <w:rPr>
            <w:rFonts w:ascii="MS Gothic" w:eastAsia="MS Gothic" w:hAnsi="MS Gothic" w:cs="Times New Roman"/>
            <w:szCs w:val="24"/>
          </w:rPr>
          <w:id w:val="-778334009"/>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ascii="MS Gothic" w:eastAsia="MS Gothic" w:hAnsi="MS Gothic" w:cs="Times New Roman"/>
            <w:szCs w:val="24"/>
          </w:rPr>
          <w:id w:val="-2080131308"/>
        </w:sdtPr>
        <w:sdtEndPr/>
        <w:sdtContent>
          <w:r w:rsidR="00D85185">
            <w:rPr>
              <w:rFonts w:ascii="MS Gothic" w:eastAsia="MS Gothic" w:hAnsi="MS Gothic" w:cs="Times New Roman" w:hint="eastAsia"/>
              <w:szCs w:val="24"/>
            </w:rPr>
            <w:t>☒</w:t>
          </w:r>
        </w:sdtContent>
      </w:sdt>
      <w:r w:rsidRPr="00E458FA">
        <w:rPr>
          <w:rFonts w:eastAsia="Times New Roman" w:cs="Times New Roman"/>
          <w:szCs w:val="24"/>
        </w:rPr>
        <w:t xml:space="preserve"> </w:t>
      </w:r>
      <w:proofErr w:type="gramStart"/>
      <w:r w:rsidRPr="00E458FA">
        <w:rPr>
          <w:rFonts w:eastAsia="Times New Roman" w:cs="Times New Roman"/>
          <w:szCs w:val="24"/>
        </w:rPr>
        <w:t>Not</w:t>
      </w:r>
      <w:proofErr w:type="gramEnd"/>
      <w:r w:rsidRPr="00E458FA">
        <w:rPr>
          <w:rFonts w:eastAsia="Times New Roman" w:cs="Times New Roman"/>
          <w:szCs w:val="24"/>
        </w:rPr>
        <w:t xml:space="preserve"> sure</w:t>
      </w:r>
    </w:p>
    <w:p w14:paraId="5D06FFFE" w14:textId="77777777"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Please give reasons for your answer.</w:t>
      </w:r>
    </w:p>
    <w:p w14:paraId="709795E0" w14:textId="77777777" w:rsidR="00E458FA" w:rsidRPr="002E4BEF" w:rsidRDefault="00D85185" w:rsidP="00E458FA">
      <w:pPr>
        <w:tabs>
          <w:tab w:val="left" w:pos="567"/>
        </w:tabs>
        <w:spacing w:after="288" w:line="240" w:lineRule="auto"/>
        <w:ind w:left="142" w:right="11"/>
        <w:rPr>
          <w:rFonts w:asciiTheme="minorHAnsi" w:eastAsia="Times New Roman" w:hAnsiTheme="minorHAnsi" w:cs="Arial"/>
          <w:szCs w:val="24"/>
        </w:rPr>
      </w:pPr>
      <w:r w:rsidRPr="002E4BEF">
        <w:rPr>
          <w:rFonts w:asciiTheme="minorHAnsi" w:eastAsia="Times New Roman" w:hAnsiTheme="minorHAnsi" w:cs="Arial"/>
          <w:szCs w:val="24"/>
        </w:rPr>
        <w:t>We require further information.</w:t>
      </w:r>
    </w:p>
    <w:p w14:paraId="025DB414" w14:textId="77777777" w:rsidR="00E458FA" w:rsidRPr="00E458FA" w:rsidRDefault="00E458FA" w:rsidP="00E458FA">
      <w:pPr>
        <w:numPr>
          <w:ilvl w:val="0"/>
          <w:numId w:val="24"/>
        </w:numPr>
        <w:tabs>
          <w:tab w:val="left" w:pos="567"/>
        </w:tabs>
        <w:spacing w:after="288" w:line="240" w:lineRule="auto"/>
        <w:ind w:right="11"/>
        <w:rPr>
          <w:rFonts w:eastAsia="Times New Roman" w:cs="Arial"/>
          <w:szCs w:val="24"/>
        </w:rPr>
      </w:pPr>
      <w:r w:rsidRPr="00E458FA">
        <w:rPr>
          <w:rFonts w:eastAsia="Times New Roman" w:cs="Arial"/>
          <w:szCs w:val="24"/>
        </w:rPr>
        <w:t xml:space="preserve">Do you agree with the proposed subscription funding model?  </w:t>
      </w:r>
    </w:p>
    <w:p w14:paraId="5FD226ED" w14:textId="77777777" w:rsidR="00E458FA" w:rsidRPr="00E458FA" w:rsidRDefault="00E458FA" w:rsidP="00E458FA">
      <w:pPr>
        <w:tabs>
          <w:tab w:val="left" w:pos="567"/>
        </w:tabs>
        <w:spacing w:after="288" w:line="240" w:lineRule="auto"/>
        <w:ind w:left="142"/>
        <w:rPr>
          <w:rFonts w:eastAsia="Times New Roman" w:cs="Times New Roman"/>
          <w:szCs w:val="24"/>
        </w:rPr>
      </w:pPr>
      <w:r w:rsidRPr="00E458FA">
        <w:rPr>
          <w:rFonts w:eastAsia="Times New Roman" w:cs="Times New Roman"/>
          <w:szCs w:val="24"/>
        </w:rPr>
        <w:t xml:space="preserve">    </w:t>
      </w:r>
      <w:sdt>
        <w:sdtPr>
          <w:rPr>
            <w:rFonts w:ascii="MS Gothic" w:eastAsia="MS Gothic" w:hAnsi="MS Gothic" w:cs="Times New Roman"/>
            <w:szCs w:val="24"/>
          </w:rPr>
          <w:id w:val="1743217433"/>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Yes</w:t>
      </w:r>
      <w:r w:rsidRPr="00E458FA">
        <w:rPr>
          <w:rFonts w:eastAsia="Times New Roman" w:cs="Times New Roman"/>
          <w:szCs w:val="24"/>
        </w:rPr>
        <w:tab/>
      </w:r>
      <w:r w:rsidRPr="00E458FA">
        <w:rPr>
          <w:rFonts w:eastAsia="Times New Roman" w:cs="Times New Roman"/>
          <w:szCs w:val="24"/>
        </w:rPr>
        <w:tab/>
      </w:r>
      <w:sdt>
        <w:sdtPr>
          <w:rPr>
            <w:rFonts w:ascii="MS Gothic" w:eastAsia="MS Gothic" w:hAnsi="MS Gothic" w:cs="Times New Roman"/>
            <w:szCs w:val="24"/>
          </w:rPr>
          <w:id w:val="150646112"/>
        </w:sdtPr>
        <w:sdtEndPr/>
        <w:sdtContent>
          <w:r w:rsidRPr="00E458FA">
            <w:rPr>
              <w:rFonts w:ascii="MS Gothic" w:eastAsia="MS Gothic" w:hAnsi="MS Gothic" w:cs="Times New Roman" w:hint="eastAsia"/>
              <w:szCs w:val="24"/>
            </w:rPr>
            <w:t>☐</w:t>
          </w:r>
        </w:sdtContent>
      </w:sdt>
      <w:r w:rsidRPr="00E458FA">
        <w:rPr>
          <w:rFonts w:eastAsia="Times New Roman" w:cs="Times New Roman"/>
          <w:szCs w:val="24"/>
        </w:rPr>
        <w:t xml:space="preserve"> 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ascii="MS Gothic" w:eastAsia="MS Gothic" w:hAnsi="MS Gothic" w:cs="Times New Roman"/>
            <w:szCs w:val="24"/>
          </w:rPr>
          <w:id w:val="-1697998353"/>
        </w:sdtPr>
        <w:sdtEndPr/>
        <w:sdtContent>
          <w:r w:rsidR="00D85185">
            <w:rPr>
              <w:rFonts w:ascii="MS Gothic" w:eastAsia="MS Gothic" w:hAnsi="MS Gothic" w:cs="Times New Roman" w:hint="eastAsia"/>
              <w:szCs w:val="24"/>
            </w:rPr>
            <w:t>☒</w:t>
          </w:r>
        </w:sdtContent>
      </w:sdt>
      <w:r w:rsidRPr="00E458FA">
        <w:rPr>
          <w:rFonts w:eastAsia="Times New Roman" w:cs="Times New Roman"/>
          <w:szCs w:val="24"/>
        </w:rPr>
        <w:t xml:space="preserve"> </w:t>
      </w:r>
      <w:proofErr w:type="gramStart"/>
      <w:r w:rsidRPr="00E458FA">
        <w:rPr>
          <w:rFonts w:eastAsia="Times New Roman" w:cs="Times New Roman"/>
          <w:szCs w:val="24"/>
        </w:rPr>
        <w:t>Not</w:t>
      </w:r>
      <w:proofErr w:type="gramEnd"/>
      <w:r w:rsidRPr="00E458FA">
        <w:rPr>
          <w:rFonts w:eastAsia="Times New Roman" w:cs="Times New Roman"/>
          <w:szCs w:val="24"/>
        </w:rPr>
        <w:t xml:space="preserve"> sure</w:t>
      </w:r>
    </w:p>
    <w:p w14:paraId="1C2C2CC4" w14:textId="77777777"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Please give reasons for your answer.</w:t>
      </w:r>
    </w:p>
    <w:p w14:paraId="65BE1D70" w14:textId="77777777" w:rsidR="002E4BEF" w:rsidRPr="002E4BEF" w:rsidRDefault="00800A40" w:rsidP="002E4BEF">
      <w:pPr>
        <w:spacing w:after="288" w:line="240" w:lineRule="auto"/>
        <w:ind w:left="142"/>
        <w:rPr>
          <w:rFonts w:asciiTheme="minorHAnsi" w:eastAsia="Times New Roman" w:hAnsiTheme="minorHAnsi" w:cstheme="minorHAnsi"/>
          <w:bCs/>
          <w:iCs/>
          <w:szCs w:val="24"/>
        </w:rPr>
      </w:pPr>
      <w:r w:rsidRPr="002E4BEF">
        <w:rPr>
          <w:rFonts w:asciiTheme="minorHAnsi" w:eastAsia="Times New Roman" w:hAnsiTheme="minorHAnsi" w:cs="Arial"/>
          <w:szCs w:val="24"/>
        </w:rPr>
        <w:t xml:space="preserve">At present, providers do not have to subscribe to HEFCE.  Subscription will place additional burden on providers’ resources and will use student funds. Other regulated sectors which subscribe do not have such controls on the amounts they can charge their </w:t>
      </w:r>
      <w:proofErr w:type="gramStart"/>
      <w:r w:rsidRPr="002E4BEF">
        <w:rPr>
          <w:rFonts w:asciiTheme="minorHAnsi" w:eastAsia="Times New Roman" w:hAnsiTheme="minorHAnsi" w:cs="Arial"/>
          <w:szCs w:val="24"/>
        </w:rPr>
        <w:t>customers</w:t>
      </w:r>
      <w:r w:rsidR="00174A89">
        <w:rPr>
          <w:rFonts w:asciiTheme="minorHAnsi" w:eastAsia="Times New Roman" w:hAnsiTheme="minorHAnsi" w:cs="Arial"/>
          <w:szCs w:val="24"/>
        </w:rPr>
        <w:t>,</w:t>
      </w:r>
      <w:proofErr w:type="gramEnd"/>
      <w:r w:rsidR="00174A89">
        <w:rPr>
          <w:rFonts w:asciiTheme="minorHAnsi" w:eastAsia="Times New Roman" w:hAnsiTheme="minorHAnsi" w:cs="Arial"/>
          <w:szCs w:val="24"/>
        </w:rPr>
        <w:t xml:space="preserve"> t</w:t>
      </w:r>
      <w:r w:rsidRPr="002E4BEF">
        <w:rPr>
          <w:rFonts w:asciiTheme="minorHAnsi" w:eastAsia="Times New Roman" w:hAnsiTheme="minorHAnsi" w:cs="Arial"/>
          <w:szCs w:val="24"/>
        </w:rPr>
        <w:t>herefore it is not clear that there is an argument for this.</w:t>
      </w:r>
      <w:r w:rsidR="002E4BEF" w:rsidRPr="002E4BEF">
        <w:rPr>
          <w:rFonts w:asciiTheme="minorHAnsi" w:eastAsia="Times New Roman" w:hAnsiTheme="minorHAnsi" w:cs="Arial"/>
          <w:szCs w:val="24"/>
        </w:rPr>
        <w:t xml:space="preserve">  And again, </w:t>
      </w:r>
      <w:r w:rsidR="002E4BEF" w:rsidRPr="002E4BEF">
        <w:rPr>
          <w:rFonts w:asciiTheme="minorHAnsi" w:eastAsia="Times New Roman" w:hAnsiTheme="minorHAnsi" w:cstheme="minorHAnsi"/>
          <w:bCs/>
          <w:iCs/>
          <w:szCs w:val="24"/>
        </w:rPr>
        <w:t xml:space="preserve">the costs of application to enter the sector </w:t>
      </w:r>
      <w:r w:rsidR="002E4BEF">
        <w:rPr>
          <w:rFonts w:asciiTheme="minorHAnsi" w:eastAsia="Times New Roman" w:hAnsiTheme="minorHAnsi" w:cstheme="minorHAnsi"/>
          <w:bCs/>
          <w:iCs/>
          <w:szCs w:val="24"/>
        </w:rPr>
        <w:t xml:space="preserve">and </w:t>
      </w:r>
      <w:r w:rsidR="002E4BEF" w:rsidRPr="002E4BEF">
        <w:rPr>
          <w:rFonts w:asciiTheme="minorHAnsi" w:eastAsia="Times New Roman" w:hAnsiTheme="minorHAnsi" w:cstheme="minorHAnsi"/>
          <w:bCs/>
          <w:iCs/>
          <w:szCs w:val="24"/>
        </w:rPr>
        <w:t xml:space="preserve">of the intensive monitoring that is essential in developing the track record of a new entrant should be borne directly by that entrant.  </w:t>
      </w:r>
    </w:p>
    <w:p w14:paraId="497C4168" w14:textId="77777777" w:rsidR="00D85185" w:rsidRPr="00800A40" w:rsidRDefault="00D85185" w:rsidP="00800A40">
      <w:pPr>
        <w:pStyle w:val="CommentText"/>
        <w:ind w:left="142"/>
        <w:rPr>
          <w:rFonts w:asciiTheme="minorHAnsi" w:eastAsia="Times New Roman" w:hAnsiTheme="minorHAnsi" w:cs="Arial"/>
          <w:color w:val="5F497A" w:themeColor="accent4" w:themeShade="BF"/>
          <w:sz w:val="24"/>
          <w:szCs w:val="24"/>
        </w:rPr>
      </w:pPr>
    </w:p>
    <w:p w14:paraId="3EE605F4" w14:textId="77777777"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 xml:space="preserve">Question 22: </w:t>
      </w:r>
    </w:p>
    <w:p w14:paraId="197F2CF2" w14:textId="77777777" w:rsidR="00E458FA" w:rsidRPr="00E458FA" w:rsidRDefault="00E458FA" w:rsidP="00E458FA">
      <w:pPr>
        <w:numPr>
          <w:ilvl w:val="0"/>
          <w:numId w:val="25"/>
        </w:numPr>
        <w:tabs>
          <w:tab w:val="left" w:pos="567"/>
        </w:tabs>
        <w:spacing w:after="288" w:line="240" w:lineRule="auto"/>
        <w:ind w:right="11"/>
        <w:rPr>
          <w:rFonts w:eastAsia="Times New Roman" w:cs="Arial"/>
          <w:szCs w:val="24"/>
        </w:rPr>
      </w:pPr>
      <w:r w:rsidRPr="00E458FA">
        <w:rPr>
          <w:rFonts w:eastAsia="Times New Roman" w:cs="Arial"/>
          <w:szCs w:val="24"/>
        </w:rPr>
        <w:t xml:space="preserve">Do you agree with the proposed powers for </w:t>
      </w:r>
      <w:proofErr w:type="spellStart"/>
      <w:r w:rsidRPr="00E458FA">
        <w:rPr>
          <w:rFonts w:eastAsia="Times New Roman" w:cs="Arial"/>
          <w:szCs w:val="24"/>
        </w:rPr>
        <w:t>OfS</w:t>
      </w:r>
      <w:proofErr w:type="spellEnd"/>
      <w:r w:rsidRPr="00E458FA">
        <w:rPr>
          <w:rFonts w:eastAsia="Times New Roman" w:cs="Arial"/>
          <w:szCs w:val="24"/>
        </w:rPr>
        <w:t xml:space="preserve"> and the Secretary of State to manage risk?  </w:t>
      </w:r>
    </w:p>
    <w:p w14:paraId="3EEC0872" w14:textId="77777777" w:rsidR="00E458FA" w:rsidRPr="00E458FA" w:rsidRDefault="00E458FA" w:rsidP="00E458FA">
      <w:pPr>
        <w:tabs>
          <w:tab w:val="left" w:pos="567"/>
        </w:tabs>
        <w:spacing w:after="288" w:line="240" w:lineRule="auto"/>
        <w:ind w:left="142"/>
        <w:rPr>
          <w:rFonts w:eastAsia="Times New Roman" w:cs="Times New Roman"/>
          <w:szCs w:val="24"/>
        </w:rPr>
      </w:pPr>
      <w:r w:rsidRPr="00E458FA">
        <w:rPr>
          <w:rFonts w:eastAsia="Times New Roman" w:cs="Times New Roman"/>
          <w:szCs w:val="24"/>
        </w:rPr>
        <w:t xml:space="preserve">         </w:t>
      </w:r>
      <w:sdt>
        <w:sdtPr>
          <w:rPr>
            <w:rFonts w:eastAsia="Times New Roman" w:cs="Times New Roman"/>
            <w:szCs w:val="24"/>
          </w:rPr>
          <w:id w:val="1973100556"/>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Yes</w:t>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1326043094"/>
        </w:sdtPr>
        <w:sdtEndPr/>
        <w:sdtContent>
          <w:r w:rsidR="00AF6638">
            <w:rPr>
              <w:rFonts w:ascii="MS Gothic" w:eastAsia="MS Gothic" w:hAnsi="MS Gothic" w:cs="Times New Roman" w:hint="eastAsia"/>
              <w:szCs w:val="24"/>
            </w:rPr>
            <w:t>☒</w:t>
          </w:r>
        </w:sdtContent>
      </w:sdt>
      <w:r w:rsidRPr="00E458FA">
        <w:rPr>
          <w:rFonts w:eastAsia="Times New Roman" w:cs="Times New Roman"/>
          <w:szCs w:val="24"/>
        </w:rPr>
        <w:t xml:space="preserve"> 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282237460"/>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w:t>
      </w:r>
      <w:proofErr w:type="gramStart"/>
      <w:r w:rsidRPr="00E458FA">
        <w:rPr>
          <w:rFonts w:eastAsia="Times New Roman" w:cs="Times New Roman"/>
          <w:szCs w:val="24"/>
        </w:rPr>
        <w:t>Not</w:t>
      </w:r>
      <w:proofErr w:type="gramEnd"/>
      <w:r w:rsidRPr="00E458FA">
        <w:rPr>
          <w:rFonts w:eastAsia="Times New Roman" w:cs="Times New Roman"/>
          <w:szCs w:val="24"/>
        </w:rPr>
        <w:t xml:space="preserve"> sure</w:t>
      </w:r>
    </w:p>
    <w:p w14:paraId="000CD0AA" w14:textId="77777777"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Please give reasons for your answer.</w:t>
      </w:r>
    </w:p>
    <w:p w14:paraId="06ADB5AB" w14:textId="77777777" w:rsidR="00E458FA" w:rsidRPr="001E30D6" w:rsidRDefault="003A47AF" w:rsidP="00A93226">
      <w:pPr>
        <w:spacing w:after="288" w:line="240" w:lineRule="auto"/>
        <w:ind w:left="142"/>
        <w:rPr>
          <w:rFonts w:asciiTheme="minorHAnsi" w:eastAsia="Times New Roman" w:hAnsiTheme="minorHAnsi" w:cs="Arial"/>
          <w:szCs w:val="24"/>
        </w:rPr>
      </w:pPr>
      <w:r w:rsidRPr="001E30D6">
        <w:rPr>
          <w:rFonts w:asciiTheme="minorHAnsi" w:eastAsia="Times New Roman" w:hAnsiTheme="minorHAnsi" w:cs="Arial"/>
          <w:szCs w:val="24"/>
        </w:rPr>
        <w:t xml:space="preserve">On the one hand the Green Paper seems to seek to transfer, in effect, institutions to the private sector through removing the requirement to participate in the Freedom of Information scheme. The proposed ‘right of entry’ arrangement places institutions firmly </w:t>
      </w:r>
      <w:r w:rsidRPr="001E30D6">
        <w:rPr>
          <w:rFonts w:asciiTheme="minorHAnsi" w:eastAsia="Times New Roman" w:hAnsiTheme="minorHAnsi" w:cs="Arial"/>
          <w:szCs w:val="24"/>
        </w:rPr>
        <w:lastRenderedPageBreak/>
        <w:t xml:space="preserve">under control of the government. This is a radical step away from the autonomy </w:t>
      </w:r>
      <w:r w:rsidR="004A3A18" w:rsidRPr="001E30D6">
        <w:rPr>
          <w:rFonts w:asciiTheme="minorHAnsi" w:eastAsia="Times New Roman" w:hAnsiTheme="minorHAnsi" w:cs="Arial"/>
          <w:szCs w:val="24"/>
        </w:rPr>
        <w:t xml:space="preserve">of </w:t>
      </w:r>
      <w:r w:rsidR="00A93226" w:rsidRPr="001E30D6">
        <w:rPr>
          <w:rFonts w:asciiTheme="minorHAnsi" w:eastAsia="Times New Roman" w:hAnsiTheme="minorHAnsi" w:cs="Arial"/>
          <w:szCs w:val="24"/>
        </w:rPr>
        <w:t>institutions</w:t>
      </w:r>
      <w:r w:rsidRPr="001E30D6">
        <w:rPr>
          <w:rFonts w:asciiTheme="minorHAnsi" w:eastAsia="Times New Roman" w:hAnsiTheme="minorHAnsi" w:cs="Arial"/>
          <w:szCs w:val="24"/>
        </w:rPr>
        <w:t xml:space="preserve"> </w:t>
      </w:r>
      <w:r w:rsidR="004A3A18" w:rsidRPr="001E30D6">
        <w:rPr>
          <w:rFonts w:asciiTheme="minorHAnsi" w:eastAsia="Times New Roman" w:hAnsiTheme="minorHAnsi" w:cs="Arial"/>
          <w:szCs w:val="24"/>
        </w:rPr>
        <w:t>which is critical to the success and reputation of the UK sector</w:t>
      </w:r>
      <w:r w:rsidR="001E30D6" w:rsidRPr="001E30D6">
        <w:rPr>
          <w:rFonts w:asciiTheme="minorHAnsi" w:eastAsia="Times New Roman" w:hAnsiTheme="minorHAnsi" w:cs="Arial"/>
          <w:szCs w:val="24"/>
        </w:rPr>
        <w:t xml:space="preserve"> which the Green Paper seeks to honour.</w:t>
      </w:r>
      <w:r w:rsidRPr="001E30D6">
        <w:rPr>
          <w:rFonts w:asciiTheme="minorHAnsi" w:eastAsia="Times New Roman" w:hAnsiTheme="minorHAnsi" w:cs="Arial"/>
          <w:szCs w:val="24"/>
        </w:rPr>
        <w:t xml:space="preserve"> </w:t>
      </w:r>
    </w:p>
    <w:p w14:paraId="511F2588" w14:textId="77777777" w:rsidR="00300862" w:rsidRPr="001E30D6" w:rsidRDefault="00300862" w:rsidP="00300862">
      <w:pPr>
        <w:spacing w:after="288" w:line="240" w:lineRule="auto"/>
        <w:ind w:left="142"/>
        <w:rPr>
          <w:rFonts w:asciiTheme="minorHAnsi" w:hAnsiTheme="minorHAnsi"/>
        </w:rPr>
      </w:pPr>
      <w:r w:rsidRPr="001E30D6">
        <w:rPr>
          <w:rFonts w:asciiTheme="minorHAnsi" w:hAnsiTheme="minorHAnsi"/>
        </w:rPr>
        <w:t xml:space="preserve">We note that the Green Paper states that </w:t>
      </w:r>
      <w:r w:rsidR="001E30D6" w:rsidRPr="001E30D6">
        <w:rPr>
          <w:rFonts w:asciiTheme="minorHAnsi" w:hAnsiTheme="minorHAnsi"/>
        </w:rPr>
        <w:t>‘</w:t>
      </w:r>
      <w:r w:rsidRPr="001E30D6">
        <w:rPr>
          <w:rFonts w:asciiTheme="minorHAnsi" w:hAnsiTheme="minorHAnsi"/>
        </w:rPr>
        <w:t>We also propose that the Secretary of State would have a power which enables BIS or a specified partner organisation to enter and inspect higher education providers, if it is suspected that the provider has committed a breach of the conditions of receipt of (direct or indirect) public funding. A power to enter and inspect is needed to allow serious breaches of conditions to be tackled as swiftly and effectively as possible, safeguarding the interests of students and the taxpayer, and protecting the reputation of the sector… The Secretary of State would lay secondary legislation specifying to which providers the powers wou</w:t>
      </w:r>
      <w:r w:rsidR="001E30D6" w:rsidRPr="001E30D6">
        <w:rPr>
          <w:rFonts w:asciiTheme="minorHAnsi" w:hAnsiTheme="minorHAnsi"/>
        </w:rPr>
        <w:t>ld apply and for what purposes.’</w:t>
      </w:r>
    </w:p>
    <w:p w14:paraId="32EFB3AF" w14:textId="77777777" w:rsidR="00300862" w:rsidRPr="001E30D6" w:rsidRDefault="00300862" w:rsidP="00300862">
      <w:pPr>
        <w:spacing w:after="288" w:line="240" w:lineRule="auto"/>
        <w:ind w:left="142"/>
        <w:rPr>
          <w:rFonts w:asciiTheme="minorHAnsi" w:eastAsia="Times New Roman" w:hAnsiTheme="minorHAnsi" w:cs="Arial"/>
          <w:szCs w:val="24"/>
        </w:rPr>
      </w:pPr>
      <w:r w:rsidRPr="001E30D6">
        <w:rPr>
          <w:rFonts w:asciiTheme="minorHAnsi" w:hAnsiTheme="minorHAnsi"/>
        </w:rPr>
        <w:t>We would perceive this as a threat to institutional autonomy. It also has the potential to create a binary (or worse) sector, whereby some institutions are automatically perceived as ‘higher risk’ because the Secretary of State has the power to enter and inspect.</w:t>
      </w:r>
    </w:p>
    <w:p w14:paraId="30CD09B5" w14:textId="77777777" w:rsidR="00300862" w:rsidRPr="001E30D6" w:rsidRDefault="00B10A99" w:rsidP="00B10A99">
      <w:pPr>
        <w:pStyle w:val="CommentText"/>
        <w:ind w:left="142"/>
        <w:rPr>
          <w:rFonts w:asciiTheme="minorHAnsi" w:eastAsia="Times New Roman" w:hAnsiTheme="minorHAnsi" w:cs="Arial"/>
          <w:sz w:val="24"/>
          <w:szCs w:val="24"/>
        </w:rPr>
      </w:pPr>
      <w:r w:rsidRPr="001E30D6">
        <w:rPr>
          <w:rFonts w:asciiTheme="minorHAnsi" w:eastAsia="Times New Roman" w:hAnsiTheme="minorHAnsi" w:cs="Arial"/>
          <w:sz w:val="24"/>
          <w:szCs w:val="24"/>
        </w:rPr>
        <w:t>W</w:t>
      </w:r>
      <w:r w:rsidR="00300862" w:rsidRPr="001E30D6">
        <w:rPr>
          <w:rFonts w:asciiTheme="minorHAnsi" w:eastAsia="Times New Roman" w:hAnsiTheme="minorHAnsi" w:cs="Arial"/>
          <w:sz w:val="24"/>
          <w:szCs w:val="24"/>
        </w:rPr>
        <w:t xml:space="preserve">e recommend consideration of whether </w:t>
      </w:r>
      <w:r w:rsidRPr="001E30D6">
        <w:rPr>
          <w:rFonts w:asciiTheme="minorHAnsi" w:eastAsia="Times New Roman" w:hAnsiTheme="minorHAnsi" w:cs="Arial"/>
          <w:sz w:val="24"/>
          <w:szCs w:val="24"/>
        </w:rPr>
        <w:t xml:space="preserve">the </w:t>
      </w:r>
      <w:r w:rsidR="00300862" w:rsidRPr="001E30D6">
        <w:rPr>
          <w:rFonts w:asciiTheme="minorHAnsi" w:eastAsia="Times New Roman" w:hAnsiTheme="minorHAnsi" w:cs="Arial"/>
          <w:sz w:val="24"/>
          <w:szCs w:val="24"/>
        </w:rPr>
        <w:t>National Audit Office powers are sufficient, coupled with existing QAA Concerns Scheme arrangements.  Arrangements for this kind of eventuality in the HE Wales Act might also be usefully considered as these would appear more suitable to the context.</w:t>
      </w:r>
    </w:p>
    <w:p w14:paraId="44FA2305" w14:textId="77777777" w:rsidR="00E458FA" w:rsidRPr="00E458FA" w:rsidRDefault="00E458FA" w:rsidP="00E458FA">
      <w:pPr>
        <w:numPr>
          <w:ilvl w:val="0"/>
          <w:numId w:val="25"/>
        </w:numPr>
        <w:tabs>
          <w:tab w:val="left" w:pos="567"/>
        </w:tabs>
        <w:spacing w:after="288" w:line="240" w:lineRule="auto"/>
        <w:ind w:right="11"/>
        <w:rPr>
          <w:rFonts w:eastAsia="Times New Roman" w:cs="Arial"/>
          <w:szCs w:val="24"/>
        </w:rPr>
      </w:pPr>
      <w:r w:rsidRPr="00E458FA">
        <w:rPr>
          <w:rFonts w:eastAsia="Times New Roman" w:cs="Arial"/>
          <w:szCs w:val="24"/>
        </w:rPr>
        <w:t>What safeguards for providers should be considered to limit the use of such powers?</w:t>
      </w:r>
    </w:p>
    <w:p w14:paraId="4B1E4E7B" w14:textId="77777777" w:rsidR="00300862" w:rsidRPr="001E30D6" w:rsidRDefault="007E03ED" w:rsidP="007E03ED">
      <w:pPr>
        <w:tabs>
          <w:tab w:val="left" w:pos="567"/>
        </w:tabs>
        <w:spacing w:after="288" w:line="240" w:lineRule="auto"/>
        <w:ind w:left="142" w:right="11"/>
        <w:rPr>
          <w:rFonts w:asciiTheme="minorHAnsi" w:eastAsia="Times New Roman" w:hAnsiTheme="minorHAnsi" w:cs="Arial"/>
          <w:szCs w:val="24"/>
        </w:rPr>
      </w:pPr>
      <w:r>
        <w:rPr>
          <w:rFonts w:asciiTheme="minorHAnsi" w:eastAsia="Times New Roman" w:hAnsiTheme="minorHAnsi" w:cs="Arial"/>
          <w:szCs w:val="24"/>
        </w:rPr>
        <w:t xml:space="preserve">Until a track record is established, we suggest </w:t>
      </w:r>
      <w:r w:rsidR="00D85185" w:rsidRPr="001E30D6">
        <w:rPr>
          <w:rFonts w:asciiTheme="minorHAnsi" w:eastAsia="Times New Roman" w:hAnsiTheme="minorHAnsi" w:cs="Arial"/>
          <w:szCs w:val="24"/>
        </w:rPr>
        <w:t xml:space="preserve">allowing degree-awarding powers by level of the FHEQ </w:t>
      </w:r>
      <w:r>
        <w:rPr>
          <w:rFonts w:asciiTheme="minorHAnsi" w:eastAsia="Times New Roman" w:hAnsiTheme="minorHAnsi" w:cs="Arial"/>
          <w:szCs w:val="24"/>
        </w:rPr>
        <w:t>and in limited subject areas</w:t>
      </w:r>
      <w:r w:rsidR="00300862" w:rsidRPr="001E30D6">
        <w:rPr>
          <w:rFonts w:asciiTheme="minorHAnsi" w:eastAsia="Times New Roman" w:hAnsiTheme="minorHAnsi" w:cs="Arial"/>
          <w:szCs w:val="24"/>
        </w:rPr>
        <w:t>.</w:t>
      </w:r>
    </w:p>
    <w:p w14:paraId="64B5B274" w14:textId="77777777"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 xml:space="preserve">Question 23: Do you agree with the proposed deregulatory measures?  </w:t>
      </w:r>
    </w:p>
    <w:p w14:paraId="298BE9F4" w14:textId="77777777" w:rsidR="00E458FA" w:rsidRPr="00E458FA" w:rsidRDefault="00E458FA" w:rsidP="00E458FA">
      <w:pPr>
        <w:tabs>
          <w:tab w:val="left" w:pos="567"/>
        </w:tabs>
        <w:spacing w:after="288" w:line="240" w:lineRule="auto"/>
        <w:ind w:left="142"/>
        <w:rPr>
          <w:rFonts w:eastAsia="Times New Roman" w:cs="Times New Roman"/>
          <w:szCs w:val="24"/>
        </w:rPr>
      </w:pPr>
      <w:r w:rsidRPr="00E458FA">
        <w:rPr>
          <w:rFonts w:eastAsia="Times New Roman" w:cs="Times New Roman"/>
          <w:szCs w:val="24"/>
        </w:rPr>
        <w:t xml:space="preserve">        </w:t>
      </w:r>
      <w:sdt>
        <w:sdtPr>
          <w:rPr>
            <w:rFonts w:eastAsia="Times New Roman" w:cs="Times New Roman"/>
            <w:szCs w:val="24"/>
          </w:rPr>
          <w:id w:val="217630817"/>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Yes</w:t>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1938669189"/>
        </w:sdtPr>
        <w:sdtEndPr/>
        <w:sdtContent>
          <w:r w:rsidR="00AF6638">
            <w:rPr>
              <w:rFonts w:ascii="MS Gothic" w:eastAsia="MS Gothic" w:hAnsi="MS Gothic" w:cs="Times New Roman" w:hint="eastAsia"/>
              <w:szCs w:val="24"/>
            </w:rPr>
            <w:t>☒</w:t>
          </w:r>
        </w:sdtContent>
      </w:sdt>
      <w:r w:rsidRPr="00E458FA">
        <w:rPr>
          <w:rFonts w:eastAsia="Times New Roman" w:cs="Times New Roman"/>
          <w:szCs w:val="24"/>
        </w:rPr>
        <w:t xml:space="preserve"> No</w:t>
      </w:r>
      <w:r w:rsidRPr="00E458FA">
        <w:rPr>
          <w:rFonts w:eastAsia="Times New Roman" w:cs="Times New Roman"/>
          <w:szCs w:val="24"/>
        </w:rPr>
        <w:tab/>
      </w:r>
      <w:r w:rsidRPr="00E458FA">
        <w:rPr>
          <w:rFonts w:eastAsia="Times New Roman" w:cs="Times New Roman"/>
          <w:szCs w:val="24"/>
        </w:rPr>
        <w:tab/>
      </w:r>
      <w:r w:rsidRPr="00E458FA">
        <w:rPr>
          <w:rFonts w:eastAsia="Times New Roman" w:cs="Times New Roman"/>
          <w:szCs w:val="24"/>
        </w:rPr>
        <w:tab/>
      </w:r>
      <w:sdt>
        <w:sdtPr>
          <w:rPr>
            <w:rFonts w:eastAsia="Times New Roman" w:cs="Times New Roman"/>
            <w:szCs w:val="24"/>
          </w:rPr>
          <w:id w:val="1475714231"/>
        </w:sdtPr>
        <w:sdtEndPr/>
        <w:sdtContent>
          <w:r w:rsidRPr="00E458FA">
            <w:rPr>
              <w:rFonts w:ascii="MS Gothic" w:eastAsia="MS Gothic" w:hAnsi="MS Gothic" w:cs="MS Gothic" w:hint="eastAsia"/>
              <w:szCs w:val="24"/>
            </w:rPr>
            <w:t>☐</w:t>
          </w:r>
        </w:sdtContent>
      </w:sdt>
      <w:r w:rsidRPr="00E458FA">
        <w:rPr>
          <w:rFonts w:eastAsia="Times New Roman" w:cs="Times New Roman"/>
          <w:szCs w:val="24"/>
        </w:rPr>
        <w:t xml:space="preserve"> </w:t>
      </w:r>
      <w:proofErr w:type="gramStart"/>
      <w:r w:rsidRPr="00E458FA">
        <w:rPr>
          <w:rFonts w:eastAsia="Times New Roman" w:cs="Times New Roman"/>
          <w:szCs w:val="24"/>
        </w:rPr>
        <w:t>Not</w:t>
      </w:r>
      <w:proofErr w:type="gramEnd"/>
      <w:r w:rsidRPr="00E458FA">
        <w:rPr>
          <w:rFonts w:eastAsia="Times New Roman" w:cs="Times New Roman"/>
          <w:szCs w:val="24"/>
        </w:rPr>
        <w:t xml:space="preserve"> sure</w:t>
      </w:r>
    </w:p>
    <w:p w14:paraId="779AF900" w14:textId="77777777" w:rsidR="00E458FA" w:rsidRPr="00E458FA" w:rsidRDefault="00E458FA" w:rsidP="00E458FA">
      <w:pPr>
        <w:tabs>
          <w:tab w:val="left" w:pos="567"/>
        </w:tabs>
        <w:spacing w:after="288" w:line="240" w:lineRule="auto"/>
        <w:ind w:left="142" w:right="11"/>
        <w:rPr>
          <w:rFonts w:eastAsia="Times New Roman" w:cs="Arial"/>
          <w:szCs w:val="24"/>
        </w:rPr>
      </w:pPr>
      <w:r w:rsidRPr="00E458FA">
        <w:rPr>
          <w:rFonts w:eastAsia="Times New Roman" w:cs="Arial"/>
          <w:szCs w:val="24"/>
        </w:rPr>
        <w:t>Please give reasons for your answer, including how the proposals would change the burden on providers.  Please quantify the benefits and/or costs where possible.</w:t>
      </w:r>
    </w:p>
    <w:p w14:paraId="0F4F5A28" w14:textId="77777777" w:rsidR="004057AD" w:rsidRPr="00211212" w:rsidRDefault="00B10A99" w:rsidP="00B10A99">
      <w:pPr>
        <w:pStyle w:val="CommentText"/>
        <w:ind w:left="142"/>
        <w:rPr>
          <w:rFonts w:asciiTheme="minorHAnsi" w:eastAsia="Times New Roman" w:hAnsiTheme="minorHAnsi" w:cstheme="minorHAnsi"/>
          <w:sz w:val="24"/>
          <w:szCs w:val="24"/>
        </w:rPr>
      </w:pPr>
      <w:r w:rsidRPr="00211212">
        <w:rPr>
          <w:rFonts w:asciiTheme="minorHAnsi" w:eastAsia="Times New Roman" w:hAnsiTheme="minorHAnsi" w:cstheme="minorHAnsi"/>
          <w:sz w:val="24"/>
          <w:szCs w:val="24"/>
        </w:rPr>
        <w:t xml:space="preserve">Deregulatory measures should be considered as part of whole picture, e.g. changes to Privy Council requirements need to be looked at in the context of proposed changes to QA and the emphasis on the role of the governing body.  Would urge </w:t>
      </w:r>
      <w:r w:rsidR="00040FAA" w:rsidRPr="00211212">
        <w:rPr>
          <w:rFonts w:asciiTheme="minorHAnsi" w:eastAsia="Times New Roman" w:hAnsiTheme="minorHAnsi" w:cstheme="minorHAnsi"/>
          <w:sz w:val="24"/>
          <w:szCs w:val="24"/>
        </w:rPr>
        <w:t>care</w:t>
      </w:r>
      <w:r w:rsidRPr="00211212">
        <w:rPr>
          <w:rFonts w:asciiTheme="minorHAnsi" w:eastAsia="Times New Roman" w:hAnsiTheme="minorHAnsi" w:cstheme="minorHAnsi"/>
          <w:sz w:val="24"/>
          <w:szCs w:val="24"/>
        </w:rPr>
        <w:t xml:space="preserve"> in this area.  The independence of the Privy Council is useful in preventing significant changes that would mean a governing body could not properly discharge its function.  </w:t>
      </w:r>
    </w:p>
    <w:p w14:paraId="72426C65" w14:textId="77777777" w:rsidR="00B10A99" w:rsidRPr="00211212" w:rsidRDefault="00B10A99" w:rsidP="00B10A99">
      <w:pPr>
        <w:pStyle w:val="CommentText"/>
        <w:ind w:left="142"/>
        <w:rPr>
          <w:rFonts w:asciiTheme="minorHAnsi" w:eastAsia="Times New Roman" w:hAnsiTheme="minorHAnsi" w:cstheme="minorHAnsi"/>
          <w:sz w:val="24"/>
          <w:szCs w:val="24"/>
        </w:rPr>
      </w:pPr>
      <w:r w:rsidRPr="00211212">
        <w:rPr>
          <w:rFonts w:asciiTheme="minorHAnsi" w:eastAsia="Times New Roman" w:hAnsiTheme="minorHAnsi" w:cstheme="minorHAnsi"/>
          <w:sz w:val="24"/>
          <w:szCs w:val="24"/>
        </w:rPr>
        <w:t>We need to retain protection of the title ‘University’.</w:t>
      </w:r>
    </w:p>
    <w:p w14:paraId="794563E9" w14:textId="77777777" w:rsidR="004057AD" w:rsidRPr="004057AD" w:rsidRDefault="004057AD" w:rsidP="004057AD">
      <w:pPr>
        <w:tabs>
          <w:tab w:val="left" w:pos="567"/>
        </w:tabs>
        <w:spacing w:after="288" w:line="240" w:lineRule="auto"/>
        <w:ind w:left="142" w:right="11"/>
        <w:rPr>
          <w:rFonts w:asciiTheme="minorHAnsi" w:eastAsia="Times New Roman" w:hAnsiTheme="minorHAnsi" w:cstheme="minorHAnsi"/>
          <w:szCs w:val="24"/>
        </w:rPr>
      </w:pPr>
      <w:r w:rsidRPr="004057AD">
        <w:rPr>
          <w:rFonts w:asciiTheme="minorHAnsi" w:eastAsia="Times New Roman" w:hAnsiTheme="minorHAnsi" w:cstheme="minorHAnsi"/>
          <w:szCs w:val="24"/>
        </w:rPr>
        <w:t xml:space="preserve">With respect to the suggestion that the sector might become exempt from Freedom of Information legislation, in the interests of a level playing field, provision would be required that Scottish HEIS are also made exempt, as they are subject to </w:t>
      </w:r>
      <w:proofErr w:type="spellStart"/>
      <w:r w:rsidRPr="004057AD">
        <w:rPr>
          <w:rFonts w:asciiTheme="minorHAnsi" w:eastAsia="Times New Roman" w:hAnsiTheme="minorHAnsi" w:cstheme="minorHAnsi"/>
          <w:szCs w:val="24"/>
        </w:rPr>
        <w:t>FoI</w:t>
      </w:r>
      <w:proofErr w:type="spellEnd"/>
      <w:r w:rsidRPr="004057AD">
        <w:rPr>
          <w:rFonts w:asciiTheme="minorHAnsi" w:eastAsia="Times New Roman" w:hAnsiTheme="minorHAnsi" w:cstheme="minorHAnsi"/>
          <w:szCs w:val="24"/>
        </w:rPr>
        <w:t xml:space="preserve"> through a separate provision.</w:t>
      </w:r>
    </w:p>
    <w:p w14:paraId="7616E058" w14:textId="77777777" w:rsidR="00E458FA" w:rsidRPr="00AF6638" w:rsidRDefault="00E458FA" w:rsidP="00E458FA">
      <w:pPr>
        <w:keepNext/>
        <w:spacing w:after="120" w:line="240" w:lineRule="auto"/>
        <w:ind w:left="142"/>
        <w:outlineLvl w:val="2"/>
        <w:rPr>
          <w:rFonts w:eastAsia="Times New Roman" w:cs="Times New Roman"/>
          <w:b/>
          <w:bCs/>
          <w:i/>
          <w:color w:val="009BBB"/>
          <w:sz w:val="26"/>
          <w:szCs w:val="26"/>
        </w:rPr>
      </w:pPr>
      <w:bookmarkStart w:id="13" w:name="_Toc434412502"/>
      <w:r w:rsidRPr="00AF6638">
        <w:rPr>
          <w:rFonts w:eastAsia="Times New Roman" w:cs="Times New Roman"/>
          <w:b/>
          <w:bCs/>
          <w:i/>
          <w:color w:val="009BBB"/>
          <w:sz w:val="26"/>
          <w:szCs w:val="26"/>
        </w:rPr>
        <w:lastRenderedPageBreak/>
        <w:t>Reducing complexity and bureaucracy in research funding (Part D)</w:t>
      </w:r>
      <w:bookmarkEnd w:id="13"/>
    </w:p>
    <w:p w14:paraId="66A9962A" w14:textId="77777777" w:rsidR="00E458FA" w:rsidRPr="00AF6638" w:rsidRDefault="00E458FA" w:rsidP="00E458FA">
      <w:pPr>
        <w:tabs>
          <w:tab w:val="left" w:pos="567"/>
        </w:tabs>
        <w:spacing w:after="288" w:line="240" w:lineRule="auto"/>
        <w:ind w:left="142" w:right="11"/>
        <w:rPr>
          <w:rFonts w:eastAsia="Times New Roman" w:cs="Arial"/>
          <w:i/>
          <w:szCs w:val="24"/>
        </w:rPr>
      </w:pPr>
      <w:r w:rsidRPr="00AF6638">
        <w:rPr>
          <w:rFonts w:eastAsia="Times New Roman" w:cs="Arial"/>
          <w:i/>
          <w:szCs w:val="24"/>
        </w:rPr>
        <w:t>Question 24: In light of the proposed changes to the institutional framework for higher education, and the forthcoming Nurse Review, what are your views on the future design of the institutional research landscape?</w:t>
      </w:r>
    </w:p>
    <w:p w14:paraId="12F2AF63" w14:textId="77777777" w:rsidR="00E458FA" w:rsidRPr="003D64F8" w:rsidRDefault="003D64F8" w:rsidP="00E458FA">
      <w:pPr>
        <w:tabs>
          <w:tab w:val="left" w:pos="567"/>
        </w:tabs>
        <w:spacing w:after="288" w:line="240" w:lineRule="auto"/>
        <w:ind w:left="142" w:right="11"/>
        <w:rPr>
          <w:rFonts w:asciiTheme="minorHAnsi" w:eastAsia="Times New Roman" w:hAnsiTheme="minorHAnsi" w:cs="Arial"/>
          <w:szCs w:val="24"/>
        </w:rPr>
      </w:pPr>
      <w:r w:rsidRPr="003D64F8">
        <w:rPr>
          <w:rFonts w:asciiTheme="minorHAnsi" w:eastAsia="Times New Roman" w:hAnsiTheme="minorHAnsi" w:cs="Arial"/>
          <w:szCs w:val="24"/>
        </w:rPr>
        <w:t xml:space="preserve">This issue </w:t>
      </w:r>
      <w:proofErr w:type="gramStart"/>
      <w:r w:rsidRPr="003D64F8">
        <w:rPr>
          <w:rFonts w:asciiTheme="minorHAnsi" w:eastAsia="Times New Roman" w:hAnsiTheme="minorHAnsi" w:cs="Arial"/>
          <w:szCs w:val="24"/>
        </w:rPr>
        <w:t>lies</w:t>
      </w:r>
      <w:proofErr w:type="gramEnd"/>
      <w:r w:rsidRPr="003D64F8">
        <w:rPr>
          <w:rFonts w:asciiTheme="minorHAnsi" w:eastAsia="Times New Roman" w:hAnsiTheme="minorHAnsi" w:cs="Arial"/>
          <w:szCs w:val="24"/>
        </w:rPr>
        <w:t xml:space="preserve"> outwith the remit of QSN.  </w:t>
      </w:r>
    </w:p>
    <w:p w14:paraId="033F328C" w14:textId="77777777" w:rsidR="00E458FA" w:rsidRPr="00AF6638" w:rsidRDefault="00E458FA" w:rsidP="00E458FA">
      <w:pPr>
        <w:tabs>
          <w:tab w:val="left" w:pos="567"/>
        </w:tabs>
        <w:spacing w:after="288" w:line="240" w:lineRule="auto"/>
        <w:ind w:left="142" w:right="11"/>
        <w:rPr>
          <w:rFonts w:eastAsia="Times New Roman" w:cs="Arial"/>
          <w:i/>
          <w:szCs w:val="24"/>
        </w:rPr>
      </w:pPr>
      <w:r w:rsidRPr="00AF6638">
        <w:rPr>
          <w:rFonts w:eastAsia="Times New Roman" w:cs="Arial"/>
          <w:i/>
          <w:szCs w:val="24"/>
        </w:rPr>
        <w:t>Question 25:</w:t>
      </w:r>
    </w:p>
    <w:p w14:paraId="2A82E693" w14:textId="77777777" w:rsidR="00E458FA" w:rsidRPr="00AF6638" w:rsidRDefault="00E458FA" w:rsidP="00E458FA">
      <w:pPr>
        <w:numPr>
          <w:ilvl w:val="0"/>
          <w:numId w:val="26"/>
        </w:numPr>
        <w:tabs>
          <w:tab w:val="left" w:pos="567"/>
        </w:tabs>
        <w:spacing w:after="288" w:line="240" w:lineRule="auto"/>
        <w:ind w:right="11"/>
        <w:rPr>
          <w:rFonts w:eastAsia="Times New Roman" w:cs="Arial"/>
          <w:i/>
          <w:szCs w:val="24"/>
        </w:rPr>
      </w:pPr>
      <w:r w:rsidRPr="00AF6638">
        <w:rPr>
          <w:rFonts w:eastAsia="Times New Roman" w:cs="Arial"/>
          <w:i/>
          <w:szCs w:val="24"/>
        </w:rPr>
        <w:t>What safeguards would you want to see in place in the event that dual funding was operated within a single organisation?</w:t>
      </w:r>
    </w:p>
    <w:p w14:paraId="7AD45457" w14:textId="77777777" w:rsidR="003D64F8" w:rsidRPr="003D64F8" w:rsidRDefault="003D64F8" w:rsidP="003D64F8">
      <w:pPr>
        <w:tabs>
          <w:tab w:val="left" w:pos="567"/>
        </w:tabs>
        <w:spacing w:after="288" w:line="240" w:lineRule="auto"/>
        <w:ind w:left="142" w:right="11"/>
        <w:rPr>
          <w:rFonts w:asciiTheme="minorHAnsi" w:eastAsia="Times New Roman" w:hAnsiTheme="minorHAnsi" w:cstheme="minorHAnsi"/>
          <w:szCs w:val="24"/>
        </w:rPr>
      </w:pPr>
      <w:r w:rsidRPr="003D64F8">
        <w:rPr>
          <w:rFonts w:asciiTheme="minorHAnsi" w:eastAsia="Times New Roman" w:hAnsiTheme="minorHAnsi" w:cstheme="minorHAnsi"/>
          <w:szCs w:val="24"/>
        </w:rPr>
        <w:t xml:space="preserve">This issue </w:t>
      </w:r>
      <w:proofErr w:type="gramStart"/>
      <w:r w:rsidRPr="003D64F8">
        <w:rPr>
          <w:rFonts w:asciiTheme="minorHAnsi" w:eastAsia="Times New Roman" w:hAnsiTheme="minorHAnsi" w:cstheme="minorHAnsi"/>
          <w:szCs w:val="24"/>
        </w:rPr>
        <w:t>lies</w:t>
      </w:r>
      <w:proofErr w:type="gramEnd"/>
      <w:r w:rsidRPr="003D64F8">
        <w:rPr>
          <w:rFonts w:asciiTheme="minorHAnsi" w:eastAsia="Times New Roman" w:hAnsiTheme="minorHAnsi" w:cstheme="minorHAnsi"/>
          <w:szCs w:val="24"/>
        </w:rPr>
        <w:t xml:space="preserve"> outwith the remit of QSN.  </w:t>
      </w:r>
    </w:p>
    <w:p w14:paraId="3EB494A0" w14:textId="77777777" w:rsidR="00E458FA" w:rsidRPr="00AF6638" w:rsidRDefault="00E458FA" w:rsidP="00E458FA">
      <w:pPr>
        <w:tabs>
          <w:tab w:val="left" w:pos="567"/>
        </w:tabs>
        <w:spacing w:after="288" w:line="240" w:lineRule="auto"/>
        <w:ind w:left="142" w:right="11"/>
        <w:rPr>
          <w:rFonts w:eastAsia="Times New Roman" w:cs="Arial"/>
          <w:i/>
          <w:szCs w:val="24"/>
        </w:rPr>
      </w:pPr>
    </w:p>
    <w:p w14:paraId="30B6A441" w14:textId="77777777" w:rsidR="00E458FA" w:rsidRPr="00AF6638" w:rsidRDefault="00E458FA" w:rsidP="00E458FA">
      <w:pPr>
        <w:numPr>
          <w:ilvl w:val="0"/>
          <w:numId w:val="26"/>
        </w:numPr>
        <w:tabs>
          <w:tab w:val="left" w:pos="567"/>
        </w:tabs>
        <w:spacing w:after="288" w:line="240" w:lineRule="auto"/>
        <w:ind w:right="11"/>
        <w:rPr>
          <w:rFonts w:eastAsia="Times New Roman" w:cs="Arial"/>
          <w:i/>
          <w:szCs w:val="24"/>
        </w:rPr>
      </w:pPr>
      <w:r w:rsidRPr="00AF6638">
        <w:rPr>
          <w:rFonts w:eastAsia="Times New Roman" w:cs="Arial"/>
          <w:i/>
          <w:szCs w:val="24"/>
        </w:rPr>
        <w:t xml:space="preserve">Would you favour a degree of hypothecation to ensure that dual funding streams, along with their distinctive characteristics, could not be changed by that organisation? </w:t>
      </w:r>
    </w:p>
    <w:p w14:paraId="69C81B31" w14:textId="77777777" w:rsidR="00E458FA" w:rsidRPr="00AF6638" w:rsidRDefault="00E458FA" w:rsidP="00E458FA">
      <w:pPr>
        <w:tabs>
          <w:tab w:val="left" w:pos="567"/>
        </w:tabs>
        <w:spacing w:after="288" w:line="240" w:lineRule="auto"/>
        <w:ind w:left="142"/>
        <w:rPr>
          <w:rFonts w:eastAsia="Times New Roman" w:cs="Times New Roman"/>
          <w:i/>
          <w:szCs w:val="24"/>
        </w:rPr>
      </w:pPr>
      <w:r w:rsidRPr="00AF6638">
        <w:rPr>
          <w:rFonts w:eastAsia="Times New Roman" w:cs="Times New Roman"/>
          <w:i/>
          <w:szCs w:val="24"/>
        </w:rPr>
        <w:t xml:space="preserve">      </w:t>
      </w:r>
      <w:sdt>
        <w:sdtPr>
          <w:rPr>
            <w:rFonts w:ascii="MS Gothic" w:eastAsia="MS Gothic" w:hAnsi="MS Gothic" w:cs="Times New Roman"/>
            <w:i/>
            <w:szCs w:val="24"/>
          </w:rPr>
          <w:id w:val="617647884"/>
        </w:sdtPr>
        <w:sdtEndPr/>
        <w:sdtContent>
          <w:r w:rsidRPr="00AF6638">
            <w:rPr>
              <w:rFonts w:ascii="MS Gothic" w:eastAsia="MS Gothic" w:hAnsi="MS Gothic" w:cs="Times New Roman" w:hint="eastAsia"/>
              <w:i/>
              <w:szCs w:val="24"/>
            </w:rPr>
            <w:t>☐</w:t>
          </w:r>
        </w:sdtContent>
      </w:sdt>
      <w:r w:rsidRPr="00AF6638">
        <w:rPr>
          <w:rFonts w:eastAsia="Times New Roman" w:cs="Times New Roman"/>
          <w:i/>
          <w:szCs w:val="24"/>
        </w:rPr>
        <w:t xml:space="preserve"> Yes</w:t>
      </w:r>
      <w:r w:rsidRPr="00AF6638">
        <w:rPr>
          <w:rFonts w:eastAsia="Times New Roman" w:cs="Times New Roman"/>
          <w:i/>
          <w:szCs w:val="24"/>
        </w:rPr>
        <w:tab/>
      </w:r>
      <w:r w:rsidRPr="00AF6638">
        <w:rPr>
          <w:rFonts w:eastAsia="Times New Roman" w:cs="Times New Roman"/>
          <w:i/>
          <w:szCs w:val="24"/>
        </w:rPr>
        <w:tab/>
      </w:r>
      <w:sdt>
        <w:sdtPr>
          <w:rPr>
            <w:rFonts w:ascii="MS Gothic" w:eastAsia="MS Gothic" w:hAnsi="MS Gothic" w:cs="Times New Roman"/>
            <w:i/>
            <w:szCs w:val="24"/>
          </w:rPr>
          <w:id w:val="675464568"/>
        </w:sdtPr>
        <w:sdtEndPr/>
        <w:sdtContent>
          <w:r w:rsidRPr="00AF6638">
            <w:rPr>
              <w:rFonts w:ascii="MS Gothic" w:eastAsia="MS Gothic" w:hAnsi="MS Gothic" w:cs="Times New Roman" w:hint="eastAsia"/>
              <w:i/>
              <w:szCs w:val="24"/>
            </w:rPr>
            <w:t>☐</w:t>
          </w:r>
        </w:sdtContent>
      </w:sdt>
      <w:r w:rsidRPr="00AF6638">
        <w:rPr>
          <w:rFonts w:eastAsia="Times New Roman" w:cs="Times New Roman"/>
          <w:i/>
          <w:szCs w:val="24"/>
        </w:rPr>
        <w:t xml:space="preserve"> No</w:t>
      </w:r>
      <w:r w:rsidRPr="00AF6638">
        <w:rPr>
          <w:rFonts w:eastAsia="Times New Roman" w:cs="Times New Roman"/>
          <w:i/>
          <w:szCs w:val="24"/>
        </w:rPr>
        <w:tab/>
      </w:r>
      <w:r w:rsidRPr="00AF6638">
        <w:rPr>
          <w:rFonts w:eastAsia="Times New Roman" w:cs="Times New Roman"/>
          <w:i/>
          <w:szCs w:val="24"/>
        </w:rPr>
        <w:tab/>
      </w:r>
      <w:r w:rsidRPr="00AF6638">
        <w:rPr>
          <w:rFonts w:eastAsia="Times New Roman" w:cs="Times New Roman"/>
          <w:i/>
          <w:szCs w:val="24"/>
        </w:rPr>
        <w:tab/>
      </w:r>
      <w:sdt>
        <w:sdtPr>
          <w:rPr>
            <w:rFonts w:ascii="MS Gothic" w:eastAsia="MS Gothic" w:hAnsi="MS Gothic" w:cs="Times New Roman"/>
            <w:i/>
            <w:szCs w:val="24"/>
          </w:rPr>
          <w:id w:val="-37283413"/>
        </w:sdtPr>
        <w:sdtEndPr/>
        <w:sdtContent>
          <w:r w:rsidRPr="00AF6638">
            <w:rPr>
              <w:rFonts w:ascii="MS Gothic" w:eastAsia="MS Gothic" w:hAnsi="MS Gothic" w:cs="Times New Roman" w:hint="eastAsia"/>
              <w:i/>
              <w:szCs w:val="24"/>
            </w:rPr>
            <w:t>☐</w:t>
          </w:r>
        </w:sdtContent>
      </w:sdt>
      <w:r w:rsidRPr="00AF6638">
        <w:rPr>
          <w:rFonts w:eastAsia="Times New Roman" w:cs="Times New Roman"/>
          <w:i/>
          <w:szCs w:val="24"/>
        </w:rPr>
        <w:t xml:space="preserve"> </w:t>
      </w:r>
      <w:proofErr w:type="gramStart"/>
      <w:r w:rsidRPr="00AF6638">
        <w:rPr>
          <w:rFonts w:eastAsia="Times New Roman" w:cs="Times New Roman"/>
          <w:i/>
          <w:szCs w:val="24"/>
        </w:rPr>
        <w:t>Not</w:t>
      </w:r>
      <w:proofErr w:type="gramEnd"/>
      <w:r w:rsidRPr="00AF6638">
        <w:rPr>
          <w:rFonts w:eastAsia="Times New Roman" w:cs="Times New Roman"/>
          <w:i/>
          <w:szCs w:val="24"/>
        </w:rPr>
        <w:t xml:space="preserve"> sure</w:t>
      </w:r>
    </w:p>
    <w:p w14:paraId="3CC80EE0" w14:textId="77777777" w:rsidR="00E458FA" w:rsidRPr="00AF6638" w:rsidRDefault="00E458FA" w:rsidP="00E458FA">
      <w:pPr>
        <w:tabs>
          <w:tab w:val="left" w:pos="567"/>
        </w:tabs>
        <w:spacing w:after="288" w:line="240" w:lineRule="auto"/>
        <w:ind w:left="502" w:right="11"/>
        <w:rPr>
          <w:rFonts w:eastAsia="Times New Roman" w:cs="Arial"/>
          <w:i/>
          <w:szCs w:val="24"/>
        </w:rPr>
      </w:pPr>
      <w:r w:rsidRPr="00AF6638">
        <w:rPr>
          <w:rFonts w:eastAsia="Times New Roman" w:cs="Arial"/>
          <w:i/>
          <w:szCs w:val="24"/>
        </w:rPr>
        <w:t>Please give reasons for your answer</w:t>
      </w:r>
    </w:p>
    <w:p w14:paraId="61EF8CAD" w14:textId="77777777" w:rsidR="003D64F8" w:rsidRPr="003D64F8" w:rsidRDefault="003D64F8" w:rsidP="003D64F8">
      <w:pPr>
        <w:tabs>
          <w:tab w:val="left" w:pos="567"/>
        </w:tabs>
        <w:spacing w:after="288" w:line="240" w:lineRule="auto"/>
        <w:ind w:left="142" w:right="11"/>
        <w:rPr>
          <w:rFonts w:asciiTheme="minorHAnsi" w:eastAsia="Times New Roman" w:hAnsiTheme="minorHAnsi" w:cs="Arial"/>
          <w:szCs w:val="24"/>
        </w:rPr>
      </w:pPr>
      <w:r w:rsidRPr="003D64F8">
        <w:rPr>
          <w:rFonts w:asciiTheme="minorHAnsi" w:eastAsia="Times New Roman" w:hAnsiTheme="minorHAnsi" w:cs="Arial"/>
          <w:szCs w:val="24"/>
        </w:rPr>
        <w:t xml:space="preserve">This issue </w:t>
      </w:r>
      <w:proofErr w:type="gramStart"/>
      <w:r w:rsidRPr="003D64F8">
        <w:rPr>
          <w:rFonts w:asciiTheme="minorHAnsi" w:eastAsia="Times New Roman" w:hAnsiTheme="minorHAnsi" w:cs="Arial"/>
          <w:szCs w:val="24"/>
        </w:rPr>
        <w:t>lies</w:t>
      </w:r>
      <w:proofErr w:type="gramEnd"/>
      <w:r w:rsidRPr="003D64F8">
        <w:rPr>
          <w:rFonts w:asciiTheme="minorHAnsi" w:eastAsia="Times New Roman" w:hAnsiTheme="minorHAnsi" w:cs="Arial"/>
          <w:szCs w:val="24"/>
        </w:rPr>
        <w:t xml:space="preserve"> outwith the remit of QSN.  </w:t>
      </w:r>
    </w:p>
    <w:p w14:paraId="3DF4B8DE" w14:textId="77777777" w:rsidR="00E458FA" w:rsidRPr="00AF6638" w:rsidRDefault="00E458FA" w:rsidP="00E458FA">
      <w:pPr>
        <w:tabs>
          <w:tab w:val="left" w:pos="567"/>
        </w:tabs>
        <w:spacing w:after="288" w:line="240" w:lineRule="auto"/>
        <w:ind w:left="142" w:right="11"/>
        <w:rPr>
          <w:rFonts w:eastAsia="Times New Roman" w:cs="Arial"/>
          <w:i/>
          <w:szCs w:val="24"/>
        </w:rPr>
      </w:pPr>
      <w:r w:rsidRPr="00AF6638">
        <w:rPr>
          <w:rFonts w:eastAsia="Times New Roman" w:cs="Arial"/>
          <w:i/>
          <w:szCs w:val="24"/>
        </w:rPr>
        <w:t>Question 26: What are the benefits of the REF to a) your institution and b) to the wider sector? How can we ensure they are preserved?</w:t>
      </w:r>
    </w:p>
    <w:p w14:paraId="7064E554" w14:textId="77777777" w:rsidR="003D64F8" w:rsidRPr="003D64F8" w:rsidRDefault="003D64F8" w:rsidP="003D64F8">
      <w:pPr>
        <w:tabs>
          <w:tab w:val="left" w:pos="567"/>
        </w:tabs>
        <w:spacing w:after="288" w:line="240" w:lineRule="auto"/>
        <w:ind w:left="142" w:right="11"/>
        <w:rPr>
          <w:rFonts w:asciiTheme="minorHAnsi" w:eastAsia="Times New Roman" w:hAnsiTheme="minorHAnsi" w:cs="Arial"/>
          <w:szCs w:val="24"/>
        </w:rPr>
      </w:pPr>
      <w:r w:rsidRPr="003D64F8">
        <w:rPr>
          <w:rFonts w:asciiTheme="minorHAnsi" w:eastAsia="Times New Roman" w:hAnsiTheme="minorHAnsi" w:cs="Arial"/>
          <w:szCs w:val="24"/>
        </w:rPr>
        <w:t xml:space="preserve">This issue </w:t>
      </w:r>
      <w:proofErr w:type="gramStart"/>
      <w:r w:rsidRPr="003D64F8">
        <w:rPr>
          <w:rFonts w:asciiTheme="minorHAnsi" w:eastAsia="Times New Roman" w:hAnsiTheme="minorHAnsi" w:cs="Arial"/>
          <w:szCs w:val="24"/>
        </w:rPr>
        <w:t>lies</w:t>
      </w:r>
      <w:proofErr w:type="gramEnd"/>
      <w:r w:rsidRPr="003D64F8">
        <w:rPr>
          <w:rFonts w:asciiTheme="minorHAnsi" w:eastAsia="Times New Roman" w:hAnsiTheme="minorHAnsi" w:cs="Arial"/>
          <w:szCs w:val="24"/>
        </w:rPr>
        <w:t xml:space="preserve"> outwith the remit of QSN.  </w:t>
      </w:r>
    </w:p>
    <w:p w14:paraId="69BEA8B2" w14:textId="77777777" w:rsidR="00E458FA" w:rsidRPr="00AF6638" w:rsidRDefault="00E458FA" w:rsidP="00E458FA">
      <w:pPr>
        <w:tabs>
          <w:tab w:val="left" w:pos="567"/>
        </w:tabs>
        <w:spacing w:after="288" w:line="240" w:lineRule="auto"/>
        <w:ind w:left="142" w:right="11"/>
        <w:rPr>
          <w:rFonts w:eastAsia="Times New Roman" w:cs="Arial"/>
          <w:i/>
          <w:szCs w:val="24"/>
        </w:rPr>
      </w:pPr>
      <w:r w:rsidRPr="00AF6638">
        <w:rPr>
          <w:rFonts w:eastAsia="Times New Roman" w:cs="Arial"/>
          <w:i/>
          <w:szCs w:val="24"/>
        </w:rPr>
        <w:t>Question 27: How would you suggest the burden of REF exercises is reduced?</w:t>
      </w:r>
    </w:p>
    <w:p w14:paraId="525AA521" w14:textId="77777777" w:rsidR="003D64F8" w:rsidRPr="003D64F8" w:rsidRDefault="003D64F8" w:rsidP="003D64F8">
      <w:pPr>
        <w:tabs>
          <w:tab w:val="left" w:pos="567"/>
        </w:tabs>
        <w:spacing w:after="288" w:line="240" w:lineRule="auto"/>
        <w:ind w:left="142" w:right="11"/>
        <w:rPr>
          <w:rFonts w:asciiTheme="minorHAnsi" w:eastAsia="Times New Roman" w:hAnsiTheme="minorHAnsi" w:cs="Arial"/>
          <w:szCs w:val="24"/>
        </w:rPr>
      </w:pPr>
      <w:r w:rsidRPr="003D64F8">
        <w:rPr>
          <w:rFonts w:asciiTheme="minorHAnsi" w:eastAsia="Times New Roman" w:hAnsiTheme="minorHAnsi" w:cs="Arial"/>
          <w:szCs w:val="24"/>
        </w:rPr>
        <w:t xml:space="preserve">This issue </w:t>
      </w:r>
      <w:proofErr w:type="gramStart"/>
      <w:r w:rsidRPr="003D64F8">
        <w:rPr>
          <w:rFonts w:asciiTheme="minorHAnsi" w:eastAsia="Times New Roman" w:hAnsiTheme="minorHAnsi" w:cs="Arial"/>
          <w:szCs w:val="24"/>
        </w:rPr>
        <w:t>lies</w:t>
      </w:r>
      <w:proofErr w:type="gramEnd"/>
      <w:r w:rsidRPr="003D64F8">
        <w:rPr>
          <w:rFonts w:asciiTheme="minorHAnsi" w:eastAsia="Times New Roman" w:hAnsiTheme="minorHAnsi" w:cs="Arial"/>
          <w:szCs w:val="24"/>
        </w:rPr>
        <w:t xml:space="preserve"> outwith the remit of QSN.  </w:t>
      </w:r>
    </w:p>
    <w:p w14:paraId="7A7DD57A" w14:textId="77777777" w:rsidR="00E458FA" w:rsidRDefault="00E458FA" w:rsidP="00E458FA">
      <w:pPr>
        <w:tabs>
          <w:tab w:val="left" w:pos="567"/>
        </w:tabs>
        <w:spacing w:after="288" w:line="240" w:lineRule="auto"/>
        <w:ind w:left="142" w:right="11"/>
        <w:rPr>
          <w:rFonts w:eastAsia="Times New Roman" w:cs="Times New Roman"/>
          <w:bCs/>
          <w:i/>
          <w:iCs/>
          <w:szCs w:val="24"/>
        </w:rPr>
      </w:pPr>
      <w:r w:rsidRPr="00AF6638">
        <w:rPr>
          <w:rFonts w:eastAsia="Times New Roman" w:cs="Times New Roman"/>
          <w:bCs/>
          <w:i/>
          <w:iCs/>
          <w:szCs w:val="24"/>
        </w:rPr>
        <w:t>Question 28: How could the data infrastructure underpinning research information management be improved</w:t>
      </w:r>
      <w:bookmarkStart w:id="14" w:name="_GoBack"/>
      <w:bookmarkEnd w:id="14"/>
      <w:r w:rsidRPr="00AF6638">
        <w:rPr>
          <w:rFonts w:eastAsia="Times New Roman" w:cs="Times New Roman"/>
          <w:bCs/>
          <w:i/>
          <w:iCs/>
          <w:szCs w:val="24"/>
        </w:rPr>
        <w:t xml:space="preserve">? </w:t>
      </w:r>
    </w:p>
    <w:p w14:paraId="48739824" w14:textId="77777777" w:rsidR="00E458FA" w:rsidRPr="00E458FA" w:rsidRDefault="00E458FA" w:rsidP="00E458FA">
      <w:pPr>
        <w:spacing w:after="288" w:line="240" w:lineRule="auto"/>
        <w:ind w:left="142"/>
        <w:rPr>
          <w:rFonts w:eastAsia="Times New Roman" w:cs="Times New Roman"/>
          <w:b/>
          <w:szCs w:val="24"/>
        </w:rPr>
      </w:pPr>
      <w:bookmarkStart w:id="15" w:name="_Toc222902189"/>
      <w:bookmarkStart w:id="16" w:name="_Toc337743660"/>
      <w:bookmarkStart w:id="17" w:name="_Toc426987240"/>
      <w:r w:rsidRPr="00E458FA">
        <w:rPr>
          <w:rFonts w:eastAsia="Times New Roman" w:cs="Times New Roman"/>
          <w:b/>
          <w:szCs w:val="24"/>
        </w:rPr>
        <w:t>Do you have any other comments that might aid the consultation process as a whole?</w:t>
      </w:r>
      <w:bookmarkEnd w:id="15"/>
      <w:bookmarkEnd w:id="16"/>
      <w:bookmarkEnd w:id="17"/>
    </w:p>
    <w:p w14:paraId="15A0696F" w14:textId="77777777" w:rsidR="00E458FA" w:rsidRPr="00E458FA" w:rsidRDefault="00E458FA" w:rsidP="00E458FA">
      <w:pPr>
        <w:spacing w:after="0" w:line="240" w:lineRule="auto"/>
        <w:ind w:left="142"/>
        <w:rPr>
          <w:rFonts w:eastAsia="Times New Roman" w:cs="Times New Roman"/>
          <w:szCs w:val="24"/>
        </w:rPr>
      </w:pPr>
      <w:r w:rsidRPr="00E458FA">
        <w:rPr>
          <w:rFonts w:eastAsia="Times New Roman" w:cs="Times New Roman"/>
          <w:szCs w:val="24"/>
        </w:rPr>
        <w:t>Please use this space for any general comments that you may have, comments on the layout of this consultation would also be welcomed.</w:t>
      </w:r>
    </w:p>
    <w:p w14:paraId="45F97E52" w14:textId="77777777" w:rsidR="00E458FA" w:rsidRPr="00E010C6" w:rsidRDefault="00E458FA" w:rsidP="00E458FA">
      <w:pPr>
        <w:spacing w:after="288" w:line="240" w:lineRule="auto"/>
        <w:ind w:left="142"/>
        <w:rPr>
          <w:rFonts w:asciiTheme="minorHAnsi" w:eastAsia="Times New Roman" w:hAnsiTheme="minorHAnsi" w:cs="Times New Roman"/>
          <w:color w:val="FF0000"/>
          <w:szCs w:val="24"/>
        </w:rPr>
      </w:pPr>
    </w:p>
    <w:p w14:paraId="0F6FF612" w14:textId="77777777" w:rsidR="00D21BAF" w:rsidRPr="00D21BAF" w:rsidRDefault="00D21BAF" w:rsidP="00D21BAF">
      <w:pPr>
        <w:ind w:left="142"/>
        <w:rPr>
          <w:rFonts w:asciiTheme="minorHAnsi" w:hAnsiTheme="minorHAnsi" w:cstheme="minorHAnsi"/>
        </w:rPr>
      </w:pPr>
      <w:r w:rsidRPr="00D21BAF">
        <w:rPr>
          <w:rFonts w:asciiTheme="minorHAnsi" w:hAnsiTheme="minorHAnsi" w:cstheme="minorHAnsi"/>
        </w:rPr>
        <w:t xml:space="preserve">The Quality Strategy Network – QSN – comprises senior staff – mainly Directors or Deans of Quality – from c. 100 Higher Education providers across the UK.  It has representation from all categories of HE institution, from private SSIs to the Russell Group.  As such, QSN </w:t>
      </w:r>
      <w:r w:rsidRPr="00D21BAF">
        <w:rPr>
          <w:rFonts w:asciiTheme="minorHAnsi" w:hAnsiTheme="minorHAnsi" w:cstheme="minorHAnsi"/>
        </w:rPr>
        <w:lastRenderedPageBreak/>
        <w:t xml:space="preserve">is very well placed to offer an informed view on the Select Committee’s consultation.  This response is submitted by the QSN Executive Committee. </w:t>
      </w:r>
    </w:p>
    <w:p w14:paraId="553FC1B1" w14:textId="77777777" w:rsidR="00E458FA" w:rsidRPr="00321FC5" w:rsidRDefault="00E010C6" w:rsidP="00E458FA">
      <w:pPr>
        <w:spacing w:after="288" w:line="240" w:lineRule="auto"/>
        <w:ind w:left="142"/>
        <w:rPr>
          <w:rFonts w:asciiTheme="minorHAnsi" w:eastAsia="Times New Roman" w:hAnsiTheme="minorHAnsi" w:cs="Times New Roman"/>
          <w:szCs w:val="24"/>
        </w:rPr>
      </w:pPr>
      <w:r w:rsidRPr="00321FC5">
        <w:rPr>
          <w:rFonts w:asciiTheme="minorHAnsi" w:eastAsia="Times New Roman" w:hAnsiTheme="minorHAnsi" w:cs="Times New Roman"/>
          <w:szCs w:val="24"/>
        </w:rPr>
        <w:t xml:space="preserve">We welcome the </w:t>
      </w:r>
      <w:r w:rsidR="00321FC5" w:rsidRPr="00321FC5">
        <w:rPr>
          <w:rFonts w:asciiTheme="minorHAnsi" w:eastAsia="Times New Roman" w:hAnsiTheme="minorHAnsi" w:cs="Times New Roman"/>
          <w:szCs w:val="24"/>
        </w:rPr>
        <w:t xml:space="preserve">imminent </w:t>
      </w:r>
      <w:r w:rsidRPr="00321FC5">
        <w:rPr>
          <w:rFonts w:asciiTheme="minorHAnsi" w:eastAsia="Times New Roman" w:hAnsiTheme="minorHAnsi" w:cs="Times New Roman"/>
          <w:szCs w:val="24"/>
        </w:rPr>
        <w:t>‘technical consultation’</w:t>
      </w:r>
      <w:r w:rsidR="00321FC5" w:rsidRPr="00321FC5">
        <w:rPr>
          <w:rFonts w:asciiTheme="minorHAnsi" w:eastAsia="Times New Roman" w:hAnsiTheme="minorHAnsi" w:cs="Times New Roman"/>
          <w:szCs w:val="24"/>
        </w:rPr>
        <w:t>,</w:t>
      </w:r>
      <w:r w:rsidRPr="00321FC5">
        <w:rPr>
          <w:rFonts w:asciiTheme="minorHAnsi" w:eastAsia="Times New Roman" w:hAnsiTheme="minorHAnsi" w:cs="Times New Roman"/>
          <w:szCs w:val="24"/>
        </w:rPr>
        <w:t xml:space="preserve"> as we suspect that this may </w:t>
      </w:r>
      <w:r w:rsidR="00321FC5" w:rsidRPr="00321FC5">
        <w:rPr>
          <w:rFonts w:asciiTheme="minorHAnsi" w:eastAsia="Times New Roman" w:hAnsiTheme="minorHAnsi" w:cs="Times New Roman"/>
          <w:szCs w:val="24"/>
        </w:rPr>
        <w:t>provide</w:t>
      </w:r>
      <w:r w:rsidRPr="00321FC5">
        <w:rPr>
          <w:rFonts w:asciiTheme="minorHAnsi" w:eastAsia="Times New Roman" w:hAnsiTheme="minorHAnsi" w:cs="Times New Roman"/>
          <w:szCs w:val="24"/>
        </w:rPr>
        <w:t xml:space="preserve"> detail we currently lack.</w:t>
      </w:r>
    </w:p>
    <w:p w14:paraId="09F68323" w14:textId="77777777" w:rsidR="00E458FA" w:rsidRPr="00321FC5" w:rsidRDefault="00390AA4" w:rsidP="00390AA4">
      <w:pPr>
        <w:spacing w:after="288" w:line="240" w:lineRule="auto"/>
        <w:ind w:left="142"/>
        <w:rPr>
          <w:rFonts w:asciiTheme="minorHAnsi" w:hAnsiTheme="minorHAnsi"/>
        </w:rPr>
      </w:pPr>
      <w:r w:rsidRPr="00321FC5">
        <w:rPr>
          <w:rFonts w:asciiTheme="minorHAnsi" w:hAnsiTheme="minorHAnsi"/>
        </w:rPr>
        <w:t>We welcome further information, when ready, on provision recognised by Department for Education to deliver initial teacher training courses and have students accessing student support. We are working with the Department for Education to consider how the proposals throughout this document might apply to these providers.</w:t>
      </w:r>
    </w:p>
    <w:p w14:paraId="51119567" w14:textId="77777777" w:rsidR="000A268E" w:rsidRPr="00321FC5" w:rsidRDefault="000A268E" w:rsidP="00390AA4">
      <w:pPr>
        <w:spacing w:after="288" w:line="240" w:lineRule="auto"/>
        <w:ind w:left="142"/>
        <w:rPr>
          <w:rFonts w:asciiTheme="minorHAnsi" w:hAnsiTheme="minorHAnsi"/>
        </w:rPr>
      </w:pPr>
      <w:r w:rsidRPr="00321FC5">
        <w:rPr>
          <w:rFonts w:asciiTheme="minorHAnsi" w:hAnsiTheme="minorHAnsi"/>
        </w:rPr>
        <w:t xml:space="preserve">We would also welcome clarity on what consultation has taken place with students and employers to inform the proposals. </w:t>
      </w:r>
    </w:p>
    <w:p w14:paraId="2A9D7965" w14:textId="77777777" w:rsidR="00E458FA" w:rsidRPr="00321FC5" w:rsidRDefault="000A268E" w:rsidP="00E458FA">
      <w:pPr>
        <w:spacing w:after="288" w:line="240" w:lineRule="auto"/>
        <w:ind w:left="142"/>
        <w:rPr>
          <w:rFonts w:asciiTheme="minorHAnsi" w:hAnsiTheme="minorHAnsi"/>
        </w:rPr>
      </w:pPr>
      <w:r w:rsidRPr="00321FC5">
        <w:rPr>
          <w:rFonts w:asciiTheme="minorHAnsi" w:hAnsiTheme="minorHAnsi"/>
        </w:rPr>
        <w:t>We would also welcome clarity on how the TEF might add value</w:t>
      </w:r>
      <w:r w:rsidR="00321FC5" w:rsidRPr="00321FC5">
        <w:rPr>
          <w:rFonts w:asciiTheme="minorHAnsi" w:hAnsiTheme="minorHAnsi"/>
        </w:rPr>
        <w:t>,</w:t>
      </w:r>
      <w:r w:rsidRPr="00321FC5">
        <w:rPr>
          <w:rFonts w:asciiTheme="minorHAnsi" w:hAnsiTheme="minorHAnsi"/>
        </w:rPr>
        <w:t xml:space="preserve"> as the metric</w:t>
      </w:r>
      <w:r w:rsidR="00321FC5" w:rsidRPr="00321FC5">
        <w:rPr>
          <w:rFonts w:asciiTheme="minorHAnsi" w:hAnsiTheme="minorHAnsi"/>
        </w:rPr>
        <w:t>s</w:t>
      </w:r>
      <w:r w:rsidRPr="00321FC5">
        <w:rPr>
          <w:rFonts w:asciiTheme="minorHAnsi" w:hAnsiTheme="minorHAnsi"/>
        </w:rPr>
        <w:t xml:space="preserve"> currently proposed are already </w:t>
      </w:r>
      <w:r w:rsidR="00321FC5" w:rsidRPr="00321FC5">
        <w:rPr>
          <w:rFonts w:asciiTheme="minorHAnsi" w:hAnsiTheme="minorHAnsi"/>
        </w:rPr>
        <w:t xml:space="preserve">publicly </w:t>
      </w:r>
      <w:r w:rsidRPr="00321FC5">
        <w:rPr>
          <w:rFonts w:asciiTheme="minorHAnsi" w:hAnsiTheme="minorHAnsi"/>
        </w:rPr>
        <w:t xml:space="preserve">accessible to </w:t>
      </w:r>
      <w:r w:rsidR="00321FC5" w:rsidRPr="00321FC5">
        <w:rPr>
          <w:rFonts w:asciiTheme="minorHAnsi" w:hAnsiTheme="minorHAnsi"/>
        </w:rPr>
        <w:t xml:space="preserve">anyone </w:t>
      </w:r>
      <w:r w:rsidRPr="00321FC5">
        <w:rPr>
          <w:rFonts w:asciiTheme="minorHAnsi" w:hAnsiTheme="minorHAnsi"/>
        </w:rPr>
        <w:t>who wish</w:t>
      </w:r>
      <w:r w:rsidR="00321FC5" w:rsidRPr="00321FC5">
        <w:rPr>
          <w:rFonts w:asciiTheme="minorHAnsi" w:hAnsiTheme="minorHAnsi"/>
        </w:rPr>
        <w:t>es</w:t>
      </w:r>
      <w:r w:rsidRPr="00321FC5">
        <w:rPr>
          <w:rFonts w:asciiTheme="minorHAnsi" w:hAnsiTheme="minorHAnsi"/>
        </w:rPr>
        <w:t xml:space="preserve"> to consider them. </w:t>
      </w:r>
    </w:p>
    <w:p w14:paraId="7646DD86" w14:textId="77777777" w:rsidR="00B10A99" w:rsidRPr="00321FC5" w:rsidRDefault="00B35192" w:rsidP="00B35192">
      <w:pPr>
        <w:pStyle w:val="CommentText"/>
        <w:ind w:left="142"/>
        <w:rPr>
          <w:rFonts w:asciiTheme="minorHAnsi" w:eastAsia="Times New Roman" w:hAnsiTheme="minorHAnsi" w:cs="Arial"/>
          <w:sz w:val="24"/>
          <w:szCs w:val="24"/>
        </w:rPr>
      </w:pPr>
      <w:r w:rsidRPr="00321FC5">
        <w:rPr>
          <w:rFonts w:asciiTheme="minorHAnsi" w:eastAsia="Times New Roman" w:hAnsiTheme="minorHAnsi" w:cs="Arial"/>
          <w:sz w:val="24"/>
          <w:szCs w:val="24"/>
        </w:rPr>
        <w:t>We n</w:t>
      </w:r>
      <w:r w:rsidR="00B10A99" w:rsidRPr="00321FC5">
        <w:rPr>
          <w:rFonts w:asciiTheme="minorHAnsi" w:eastAsia="Times New Roman" w:hAnsiTheme="minorHAnsi" w:cs="Arial"/>
          <w:sz w:val="24"/>
          <w:szCs w:val="24"/>
        </w:rPr>
        <w:t>eed to have a picture of a whole system, including potential changes to QA system – as a test, how would we describe HE quality assessment/assurance/regulation to an overseas visitor?</w:t>
      </w:r>
    </w:p>
    <w:p w14:paraId="17AD429C" w14:textId="77777777" w:rsidR="00B10A99" w:rsidRPr="000A268E" w:rsidRDefault="00B10A99" w:rsidP="00E458FA">
      <w:pPr>
        <w:spacing w:after="288" w:line="240" w:lineRule="auto"/>
        <w:ind w:left="142"/>
        <w:rPr>
          <w:rFonts w:asciiTheme="minorHAnsi" w:hAnsiTheme="minorHAnsi"/>
          <w:color w:val="FF0000"/>
        </w:rPr>
      </w:pPr>
    </w:p>
    <w:p w14:paraId="6CE127EC" w14:textId="77777777" w:rsidR="00E458FA" w:rsidRPr="00E458FA" w:rsidRDefault="00E458FA" w:rsidP="00E458FA">
      <w:pPr>
        <w:spacing w:after="288" w:line="240" w:lineRule="auto"/>
        <w:ind w:left="142"/>
        <w:rPr>
          <w:rFonts w:eastAsia="Times New Roman" w:cs="Times New Roman"/>
          <w:szCs w:val="24"/>
        </w:rPr>
      </w:pPr>
      <w:r w:rsidRPr="00E458FA">
        <w:rPr>
          <w:rFonts w:eastAsia="Times New Roman" w:cs="Times New Roman"/>
          <w:szCs w:val="24"/>
        </w:rPr>
        <w:t xml:space="preserve">Thank you for your views on this consultation. </w:t>
      </w:r>
    </w:p>
    <w:p w14:paraId="14C56CFE" w14:textId="77777777" w:rsidR="00E458FA" w:rsidRPr="00E458FA" w:rsidRDefault="00E458FA" w:rsidP="00E458FA">
      <w:pPr>
        <w:spacing w:after="288" w:line="240" w:lineRule="auto"/>
        <w:ind w:left="142"/>
        <w:rPr>
          <w:rFonts w:eastAsia="Times New Roman" w:cs="Times New Roman"/>
          <w:szCs w:val="24"/>
        </w:rPr>
      </w:pPr>
      <w:r w:rsidRPr="00E458FA">
        <w:rPr>
          <w:rFonts w:eastAsia="Times New Roman" w:cs="Times New Roman"/>
          <w:szCs w:val="24"/>
        </w:rPr>
        <w:t xml:space="preserve">Thank you for taking the time to let us have your views. We do not intend to acknowledge receipt of individual responses unless you tick the box below. </w:t>
      </w:r>
    </w:p>
    <w:p w14:paraId="74F3013F" w14:textId="77777777" w:rsidR="00E458FA" w:rsidRPr="00E458FA" w:rsidRDefault="00E458FA" w:rsidP="00E458FA">
      <w:pPr>
        <w:spacing w:after="288" w:line="240" w:lineRule="auto"/>
        <w:ind w:left="142"/>
        <w:rPr>
          <w:rFonts w:eastAsia="Times New Roman" w:cs="Times New Roman"/>
          <w:szCs w:val="24"/>
        </w:rPr>
      </w:pPr>
      <w:r w:rsidRPr="00E458FA">
        <w:rPr>
          <w:rFonts w:eastAsia="Times New Roman" w:cs="Times New Roman"/>
          <w:szCs w:val="24"/>
        </w:rPr>
        <w:t xml:space="preserve">Please acknowledge this reply </w:t>
      </w:r>
      <w:sdt>
        <w:sdtPr>
          <w:rPr>
            <w:rFonts w:eastAsia="Times New Roman" w:cs="Times New Roman"/>
            <w:szCs w:val="24"/>
          </w:rPr>
          <w:id w:val="-44844798"/>
        </w:sdtPr>
        <w:sdtEndPr/>
        <w:sdtContent>
          <w:r w:rsidR="00A56BB7">
            <w:rPr>
              <w:rFonts w:ascii="MS Gothic" w:eastAsia="MS Gothic" w:hAnsi="MS Gothic" w:cs="Times New Roman" w:hint="eastAsia"/>
              <w:szCs w:val="24"/>
            </w:rPr>
            <w:t>☒</w:t>
          </w:r>
        </w:sdtContent>
      </w:sdt>
    </w:p>
    <w:p w14:paraId="2983B7D6" w14:textId="77777777" w:rsidR="00E458FA" w:rsidRPr="00E458FA" w:rsidRDefault="00E458FA" w:rsidP="00E458FA">
      <w:pPr>
        <w:spacing w:after="288" w:line="240" w:lineRule="auto"/>
        <w:ind w:left="142"/>
        <w:rPr>
          <w:rFonts w:eastAsia="Times New Roman" w:cs="Times New Roman"/>
          <w:szCs w:val="24"/>
        </w:rPr>
      </w:pPr>
      <w:r w:rsidRPr="00E458FA">
        <w:rPr>
          <w:rFonts w:eastAsia="Times New Roman" w:cs="Times New Roman"/>
          <w:szCs w:val="24"/>
        </w:rPr>
        <w:t xml:space="preserve">At BIS we carry out our research on many different topics and consultations. As your views are valuable to us, would it be okay if we were to contact you again from time to time either for research or to send through consultation documents? </w:t>
      </w:r>
    </w:p>
    <w:p w14:paraId="3D306096" w14:textId="77777777" w:rsidR="00E577FA" w:rsidRDefault="00971BC8" w:rsidP="00E458FA">
      <w:pPr>
        <w:spacing w:after="288" w:line="240" w:lineRule="auto"/>
        <w:ind w:left="142"/>
        <w:rPr>
          <w:rFonts w:eastAsia="Times New Roman" w:cs="Times New Roman"/>
          <w:szCs w:val="24"/>
        </w:rPr>
      </w:pPr>
      <w:sdt>
        <w:sdtPr>
          <w:rPr>
            <w:rFonts w:eastAsia="Times New Roman" w:cs="Times New Roman"/>
            <w:szCs w:val="24"/>
          </w:rPr>
          <w:id w:val="-924029108"/>
        </w:sdtPr>
        <w:sdtEndPr/>
        <w:sdtContent>
          <w:r w:rsidR="003A47AF">
            <w:rPr>
              <w:rFonts w:ascii="MS Gothic" w:eastAsia="MS Gothic" w:hAnsi="MS Gothic" w:cs="Times New Roman" w:hint="eastAsia"/>
              <w:szCs w:val="24"/>
            </w:rPr>
            <w:t>☒</w:t>
          </w:r>
        </w:sdtContent>
      </w:sdt>
      <w:r w:rsidR="00E458FA" w:rsidRPr="00E458FA">
        <w:rPr>
          <w:rFonts w:eastAsia="Times New Roman" w:cs="Times New Roman"/>
          <w:szCs w:val="24"/>
        </w:rPr>
        <w:t xml:space="preserve">Yes    </w:t>
      </w:r>
      <w:r w:rsidR="00E458FA" w:rsidRPr="00E458FA">
        <w:rPr>
          <w:rFonts w:eastAsia="Times New Roman" w:cs="Times New Roman"/>
          <w:szCs w:val="24"/>
        </w:rPr>
        <w:tab/>
      </w:r>
      <w:r w:rsidR="00E458FA" w:rsidRPr="00E458FA">
        <w:rPr>
          <w:rFonts w:eastAsia="Times New Roman" w:cs="Times New Roman"/>
          <w:szCs w:val="24"/>
        </w:rPr>
        <w:tab/>
      </w:r>
      <w:sdt>
        <w:sdtPr>
          <w:rPr>
            <w:rFonts w:eastAsia="Times New Roman" w:cs="Times New Roman"/>
            <w:szCs w:val="24"/>
          </w:rPr>
          <w:id w:val="-1932185986"/>
        </w:sdtPr>
        <w:sdtEndPr/>
        <w:sdtContent>
          <w:r w:rsidR="00E458FA" w:rsidRPr="00E458FA">
            <w:rPr>
              <w:rFonts w:ascii="MS Gothic" w:eastAsia="MS Gothic" w:hAnsi="MS Gothic" w:cs="MS Gothic" w:hint="eastAsia"/>
              <w:szCs w:val="24"/>
            </w:rPr>
            <w:t>☐</w:t>
          </w:r>
        </w:sdtContent>
      </w:sdt>
      <w:r w:rsidR="00E458FA" w:rsidRPr="00E458FA">
        <w:rPr>
          <w:rFonts w:eastAsia="Times New Roman" w:cs="Times New Roman"/>
          <w:szCs w:val="24"/>
        </w:rPr>
        <w:t xml:space="preserve"> No</w:t>
      </w:r>
    </w:p>
    <w:p w14:paraId="03F63E27" w14:textId="77777777" w:rsidR="00323663" w:rsidRDefault="00323663" w:rsidP="00E458FA">
      <w:pPr>
        <w:spacing w:after="288" w:line="240" w:lineRule="auto"/>
        <w:ind w:left="142"/>
      </w:pPr>
      <w:r>
        <w:rPr>
          <w:rFonts w:eastAsia="Times New Roman" w:cs="Times New Roman"/>
          <w:b/>
          <w:szCs w:val="24"/>
        </w:rPr>
        <w:t>BIS/15/623/RF</w:t>
      </w:r>
    </w:p>
    <w:sectPr w:rsidR="00323663" w:rsidSect="004D34E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6667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F2FC4" w14:textId="77777777" w:rsidR="00EA5287" w:rsidRDefault="00EA5287">
      <w:pPr>
        <w:spacing w:after="0" w:line="240" w:lineRule="auto"/>
      </w:pPr>
      <w:r>
        <w:separator/>
      </w:r>
    </w:p>
  </w:endnote>
  <w:endnote w:type="continuationSeparator" w:id="0">
    <w:p w14:paraId="210E5E46" w14:textId="77777777" w:rsidR="00EA5287" w:rsidRDefault="00EA5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023DE" w14:textId="77777777" w:rsidR="00EA5287" w:rsidRDefault="00EA52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123F1" w14:textId="77777777" w:rsidR="00EA5287" w:rsidRDefault="00EA52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58AD2" w14:textId="77777777" w:rsidR="00EA5287" w:rsidRDefault="00EA5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2A017" w14:textId="77777777" w:rsidR="00EA5287" w:rsidRDefault="00EA5287">
      <w:pPr>
        <w:spacing w:after="0" w:line="240" w:lineRule="auto"/>
      </w:pPr>
      <w:r>
        <w:separator/>
      </w:r>
    </w:p>
  </w:footnote>
  <w:footnote w:type="continuationSeparator" w:id="0">
    <w:p w14:paraId="18EC847C" w14:textId="77777777" w:rsidR="00EA5287" w:rsidRDefault="00EA5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E9F31" w14:textId="77777777" w:rsidR="00EA5287" w:rsidRPr="00A95640" w:rsidRDefault="00EA5287" w:rsidP="000C2EE1">
    <w:pPr>
      <w:pStyle w:val="BISEvenHeader"/>
    </w:pPr>
    <w:r>
      <w:rPr>
        <w:noProof/>
        <w:lang w:eastAsia="en-GB"/>
      </w:rPr>
      <mc:AlternateContent>
        <mc:Choice Requires="wps">
          <w:drawing>
            <wp:anchor distT="4294967295" distB="4294967295" distL="114300" distR="114300" simplePos="0" relativeHeight="251656704" behindDoc="0" locked="0" layoutInCell="1" allowOverlap="1" wp14:anchorId="6A874673" wp14:editId="62A6A2DC">
              <wp:simplePos x="0" y="0"/>
              <wp:positionH relativeFrom="page">
                <wp:posOffset>0</wp:posOffset>
              </wp:positionH>
              <wp:positionV relativeFrom="page">
                <wp:posOffset>431799</wp:posOffset>
              </wp:positionV>
              <wp:extent cx="7560310" cy="0"/>
              <wp:effectExtent l="0" t="0" r="21590" b="19050"/>
              <wp:wrapTight wrapText="bothSides">
                <wp:wrapPolygon edited="0">
                  <wp:start x="0" y="-1"/>
                  <wp:lineTo x="0" y="-1"/>
                  <wp:lineTo x="21607" y="-1"/>
                  <wp:lineTo x="21607" y="-1"/>
                  <wp:lineTo x="0" y="-1"/>
                </wp:wrapPolygon>
              </wp:wrapTight>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B90802"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" strokecolor="#003478" strokeweight="1pt">
              <w10:wrap type="tight" anchorx="page" anchory="page"/>
            </v:line>
          </w:pict>
        </mc:Fallback>
      </mc:AlternateContent>
    </w:r>
    <w:r>
      <w:t>BIS</w:t>
    </w:r>
    <w:r w:rsidRPr="00A95640">
      <w:t xml:space="preserve"> running header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B00DB" w14:textId="77777777" w:rsidR="00EA5287" w:rsidRPr="00D90412" w:rsidRDefault="00EA5287" w:rsidP="000C2EE1">
    <w:pPr>
      <w:pStyle w:val="BISOddHeader"/>
    </w:pPr>
    <w:r>
      <w:rPr>
        <w:noProof/>
        <w:lang w:eastAsia="en-GB"/>
      </w:rPr>
      <mc:AlternateContent>
        <mc:Choice Requires="wps">
          <w:drawing>
            <wp:anchor distT="4294967295" distB="4294967295" distL="114300" distR="114300" simplePos="0" relativeHeight="251657728" behindDoc="0" locked="0" layoutInCell="1" allowOverlap="1" wp14:anchorId="2DC2C025" wp14:editId="23520656">
              <wp:simplePos x="0" y="0"/>
              <wp:positionH relativeFrom="page">
                <wp:posOffset>0</wp:posOffset>
              </wp:positionH>
              <wp:positionV relativeFrom="page">
                <wp:posOffset>431799</wp:posOffset>
              </wp:positionV>
              <wp:extent cx="7560310" cy="0"/>
              <wp:effectExtent l="0" t="0" r="21590" b="19050"/>
              <wp:wrapTight wrapText="bothSides">
                <wp:wrapPolygon edited="0">
                  <wp:start x="0" y="-1"/>
                  <wp:lineTo x="0" y="-1"/>
                  <wp:lineTo x="21607" y="-1"/>
                  <wp:lineTo x="21607" y="-1"/>
                  <wp:lineTo x="0" y="-1"/>
                </wp:wrapPolygon>
              </wp:wrapTight>
              <wp:docPr id="2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47BF93" id="Line 31"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" strokecolor="#00aeef" strokeweight="1pt">
              <w10:wrap type="tight" anchorx="page" anchory="page"/>
            </v:line>
          </w:pict>
        </mc:Fallback>
      </mc:AlternateContent>
    </w:r>
    <w:r>
      <w:t>Fulfilling our Potential: Teaching Excellence, Social Mobility and Student Choice</w:t>
    </w:r>
  </w:p>
  <w:p w14:paraId="7F9CD8A7" w14:textId="77777777" w:rsidR="00EA5287" w:rsidRPr="003A1E6F" w:rsidRDefault="00EA5287" w:rsidP="000C2E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FFCA4" w14:textId="77777777" w:rsidR="00EA5287" w:rsidRDefault="00EA52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036E"/>
    <w:multiLevelType w:val="hybridMultilevel"/>
    <w:tmpl w:val="12FC895E"/>
    <w:lvl w:ilvl="0" w:tplc="1FAA2BE4">
      <w:start w:val="1"/>
      <w:numFmt w:val="decimal"/>
      <w:pStyle w:val="Bullet1st"/>
      <w:lvlText w:val="%1."/>
      <w:lvlJc w:val="left"/>
      <w:pPr>
        <w:ind w:left="36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8090019">
      <w:start w:val="1"/>
      <w:numFmt w:val="lowerLetter"/>
      <w:lvlText w:val="%2."/>
      <w:lvlJc w:val="left"/>
      <w:pPr>
        <w:ind w:left="36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844948"/>
    <w:multiLevelType w:val="hybridMultilevel"/>
    <w:tmpl w:val="3F343658"/>
    <w:lvl w:ilvl="0" w:tplc="98D82CA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0C651E14"/>
    <w:multiLevelType w:val="hybridMultilevel"/>
    <w:tmpl w:val="1186BBC6"/>
    <w:lvl w:ilvl="0" w:tplc="A2484736">
      <w:start w:val="1"/>
      <w:numFmt w:val="bullet"/>
      <w:pStyle w:val="Question"/>
      <w:lvlText w:val=""/>
      <w:lvlJc w:val="left"/>
      <w:pPr>
        <w:ind w:left="4046" w:hanging="360"/>
      </w:pPr>
      <w:rPr>
        <w:rFonts w:ascii="Symbol" w:hAnsi="Symbol" w:hint="default"/>
      </w:rPr>
    </w:lvl>
    <w:lvl w:ilvl="1" w:tplc="08090003">
      <w:start w:val="1"/>
      <w:numFmt w:val="bullet"/>
      <w:pStyle w:val="Bullet2ndinden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nsid w:val="10F53B03"/>
    <w:multiLevelType w:val="hybridMultilevel"/>
    <w:tmpl w:val="8D42A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CC4BE7"/>
    <w:multiLevelType w:val="hybridMultilevel"/>
    <w:tmpl w:val="AA146D74"/>
    <w:lvl w:ilvl="0" w:tplc="F8DA5E58">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nsid w:val="376C7279"/>
    <w:multiLevelType w:val="hybridMultilevel"/>
    <w:tmpl w:val="DA28CF10"/>
    <w:lvl w:ilvl="0" w:tplc="0809000D">
      <w:start w:val="1"/>
      <w:numFmt w:val="bullet"/>
      <w:lvlText w:val=""/>
      <w:lvlJc w:val="left"/>
      <w:pPr>
        <w:ind w:left="833" w:hanging="360"/>
      </w:pPr>
      <w:rPr>
        <w:rFonts w:ascii="Wingdings" w:hAnsi="Wingding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6">
    <w:nsid w:val="49493F89"/>
    <w:multiLevelType w:val="hybridMultilevel"/>
    <w:tmpl w:val="5C709D34"/>
    <w:lvl w:ilvl="0" w:tplc="98D82CA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49F2051B"/>
    <w:multiLevelType w:val="hybridMultilevel"/>
    <w:tmpl w:val="D638DAD6"/>
    <w:lvl w:ilvl="0" w:tplc="98D82CA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4A776AC0"/>
    <w:multiLevelType w:val="hybridMultilevel"/>
    <w:tmpl w:val="0BAC1EAE"/>
    <w:lvl w:ilvl="0" w:tplc="BCD8522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nsid w:val="4B652CAF"/>
    <w:multiLevelType w:val="hybridMultilevel"/>
    <w:tmpl w:val="3F343658"/>
    <w:lvl w:ilvl="0" w:tplc="98D82CA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nsid w:val="52915227"/>
    <w:multiLevelType w:val="hybridMultilevel"/>
    <w:tmpl w:val="F538F000"/>
    <w:lvl w:ilvl="0" w:tplc="0809000D">
      <w:start w:val="1"/>
      <w:numFmt w:val="bullet"/>
      <w:lvlText w:val=""/>
      <w:lvlJc w:val="left"/>
      <w:pPr>
        <w:ind w:left="833" w:hanging="360"/>
      </w:pPr>
      <w:rPr>
        <w:rFonts w:ascii="Wingdings" w:hAnsi="Wingding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nsid w:val="5F8830A2"/>
    <w:multiLevelType w:val="hybridMultilevel"/>
    <w:tmpl w:val="B9FA55AC"/>
    <w:lvl w:ilvl="0" w:tplc="720EF474">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nsid w:val="6A3E1529"/>
    <w:multiLevelType w:val="hybridMultilevel"/>
    <w:tmpl w:val="F54C2F5A"/>
    <w:lvl w:ilvl="0" w:tplc="08090001">
      <w:start w:val="1"/>
      <w:numFmt w:val="bullet"/>
      <w:lvlText w:val=""/>
      <w:lvlJc w:val="left"/>
      <w:pPr>
        <w:ind w:left="360" w:hanging="360"/>
      </w:pPr>
      <w:rPr>
        <w:rFonts w:ascii="Symbol" w:hAnsi="Symbol" w:hint="default"/>
      </w:rPr>
    </w:lvl>
    <w:lvl w:ilvl="1" w:tplc="EFB207F8">
      <w:numFmt w:val="bullet"/>
      <w:lvlText w:val="-"/>
      <w:lvlJc w:val="left"/>
      <w:pPr>
        <w:ind w:left="1080" w:hanging="360"/>
      </w:pPr>
      <w:rPr>
        <w:rFonts w:ascii="Arial" w:eastAsia="Times New Roman" w:hAnsi="Arial" w:cs="Aria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BAF6A3D"/>
    <w:multiLevelType w:val="hybridMultilevel"/>
    <w:tmpl w:val="A9F6DE6E"/>
    <w:lvl w:ilvl="0" w:tplc="70281D98">
      <w:start w:val="1"/>
      <w:numFmt w:val="lowerLetter"/>
      <w:lvlText w:val="%1)"/>
      <w:lvlJc w:val="left"/>
      <w:pPr>
        <w:ind w:left="502" w:hanging="360"/>
      </w:pPr>
      <w:rPr>
        <w:rFonts w:cs="Aria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nsid w:val="7DD81714"/>
    <w:multiLevelType w:val="hybridMultilevel"/>
    <w:tmpl w:val="FCAAA752"/>
    <w:lvl w:ilvl="0" w:tplc="98D82CA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2"/>
  </w:num>
  <w:num w:numId="2">
    <w:abstractNumId w:val="12"/>
  </w:num>
  <w:num w:numId="3">
    <w:abstractNumId w:val="0"/>
  </w:num>
  <w:num w:numId="4">
    <w:abstractNumId w:val="2"/>
  </w:num>
  <w:num w:numId="5">
    <w:abstractNumId w:val="12"/>
  </w:num>
  <w:num w:numId="6">
    <w:abstractNumId w:val="0"/>
  </w:num>
  <w:num w:numId="7">
    <w:abstractNumId w:val="2"/>
  </w:num>
  <w:num w:numId="8">
    <w:abstractNumId w:val="0"/>
  </w:num>
  <w:num w:numId="9">
    <w:abstractNumId w:val="2"/>
  </w:num>
  <w:num w:numId="10">
    <w:abstractNumId w:val="12"/>
  </w:num>
  <w:num w:numId="11">
    <w:abstractNumId w:val="0"/>
  </w:num>
  <w:num w:numId="12">
    <w:abstractNumId w:val="2"/>
  </w:num>
  <w:num w:numId="13">
    <w:abstractNumId w:val="12"/>
  </w:num>
  <w:num w:numId="14">
    <w:abstractNumId w:val="0"/>
  </w:num>
  <w:num w:numId="15">
    <w:abstractNumId w:val="2"/>
  </w:num>
  <w:num w:numId="16">
    <w:abstractNumId w:val="12"/>
  </w:num>
  <w:num w:numId="17">
    <w:abstractNumId w:val="0"/>
  </w:num>
  <w:num w:numId="18">
    <w:abstractNumId w:val="13"/>
  </w:num>
  <w:num w:numId="19">
    <w:abstractNumId w:val="8"/>
  </w:num>
  <w:num w:numId="20">
    <w:abstractNumId w:val="11"/>
  </w:num>
  <w:num w:numId="21">
    <w:abstractNumId w:val="9"/>
  </w:num>
  <w:num w:numId="22">
    <w:abstractNumId w:val="1"/>
  </w:num>
  <w:num w:numId="23">
    <w:abstractNumId w:val="6"/>
  </w:num>
  <w:num w:numId="24">
    <w:abstractNumId w:val="14"/>
  </w:num>
  <w:num w:numId="25">
    <w:abstractNumId w:val="7"/>
  </w:num>
  <w:num w:numId="26">
    <w:abstractNumId w:val="4"/>
  </w:num>
  <w:num w:numId="27">
    <w:abstractNumId w:val="10"/>
  </w:num>
  <w:num w:numId="28">
    <w:abstractNumId w:val="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FA"/>
    <w:rsid w:val="00000F71"/>
    <w:rsid w:val="0002283B"/>
    <w:rsid w:val="00023257"/>
    <w:rsid w:val="00033C6B"/>
    <w:rsid w:val="00040FAA"/>
    <w:rsid w:val="000562DC"/>
    <w:rsid w:val="00060171"/>
    <w:rsid w:val="00077963"/>
    <w:rsid w:val="00083873"/>
    <w:rsid w:val="000943E7"/>
    <w:rsid w:val="000A268E"/>
    <w:rsid w:val="000A6330"/>
    <w:rsid w:val="000B526C"/>
    <w:rsid w:val="000C2EE1"/>
    <w:rsid w:val="000D4664"/>
    <w:rsid w:val="000F289F"/>
    <w:rsid w:val="000F4E1B"/>
    <w:rsid w:val="00105684"/>
    <w:rsid w:val="001106EC"/>
    <w:rsid w:val="00125755"/>
    <w:rsid w:val="00135140"/>
    <w:rsid w:val="0015550E"/>
    <w:rsid w:val="00174A89"/>
    <w:rsid w:val="00185A41"/>
    <w:rsid w:val="0019277C"/>
    <w:rsid w:val="001A2EBB"/>
    <w:rsid w:val="001A542D"/>
    <w:rsid w:val="001A54B9"/>
    <w:rsid w:val="001C18E9"/>
    <w:rsid w:val="001D4361"/>
    <w:rsid w:val="001E30D6"/>
    <w:rsid w:val="00203D46"/>
    <w:rsid w:val="00211212"/>
    <w:rsid w:val="00231B2C"/>
    <w:rsid w:val="00241041"/>
    <w:rsid w:val="00242F39"/>
    <w:rsid w:val="00254889"/>
    <w:rsid w:val="0025579B"/>
    <w:rsid w:val="00261082"/>
    <w:rsid w:val="00276E01"/>
    <w:rsid w:val="0028777C"/>
    <w:rsid w:val="002B1345"/>
    <w:rsid w:val="002E2A10"/>
    <w:rsid w:val="002E4BEF"/>
    <w:rsid w:val="002F4201"/>
    <w:rsid w:val="002F4DC5"/>
    <w:rsid w:val="002F7465"/>
    <w:rsid w:val="003001E5"/>
    <w:rsid w:val="00300862"/>
    <w:rsid w:val="003174C5"/>
    <w:rsid w:val="00321FC5"/>
    <w:rsid w:val="003226EA"/>
    <w:rsid w:val="00323663"/>
    <w:rsid w:val="00343F09"/>
    <w:rsid w:val="003605C4"/>
    <w:rsid w:val="00390AA4"/>
    <w:rsid w:val="003A299F"/>
    <w:rsid w:val="003A47AF"/>
    <w:rsid w:val="003B4319"/>
    <w:rsid w:val="003C1721"/>
    <w:rsid w:val="003D0022"/>
    <w:rsid w:val="003D64F8"/>
    <w:rsid w:val="003F2390"/>
    <w:rsid w:val="003F25C9"/>
    <w:rsid w:val="00403535"/>
    <w:rsid w:val="004057AD"/>
    <w:rsid w:val="0041183F"/>
    <w:rsid w:val="004179B6"/>
    <w:rsid w:val="004204B0"/>
    <w:rsid w:val="00447D86"/>
    <w:rsid w:val="004503B0"/>
    <w:rsid w:val="00456A50"/>
    <w:rsid w:val="00457B1B"/>
    <w:rsid w:val="00495402"/>
    <w:rsid w:val="004A3A18"/>
    <w:rsid w:val="004B35D9"/>
    <w:rsid w:val="004B6F96"/>
    <w:rsid w:val="004D34EA"/>
    <w:rsid w:val="00504BF0"/>
    <w:rsid w:val="00506A0F"/>
    <w:rsid w:val="005164E8"/>
    <w:rsid w:val="00522628"/>
    <w:rsid w:val="00540936"/>
    <w:rsid w:val="00556797"/>
    <w:rsid w:val="00560D0B"/>
    <w:rsid w:val="00580E5C"/>
    <w:rsid w:val="005829EF"/>
    <w:rsid w:val="005913A0"/>
    <w:rsid w:val="0059557F"/>
    <w:rsid w:val="005A134F"/>
    <w:rsid w:val="005A4ABC"/>
    <w:rsid w:val="005A66F3"/>
    <w:rsid w:val="005D0FBF"/>
    <w:rsid w:val="005E10C0"/>
    <w:rsid w:val="00605897"/>
    <w:rsid w:val="0061482A"/>
    <w:rsid w:val="00623CC2"/>
    <w:rsid w:val="0063345F"/>
    <w:rsid w:val="00651EDD"/>
    <w:rsid w:val="00661AC5"/>
    <w:rsid w:val="0066209B"/>
    <w:rsid w:val="006731FB"/>
    <w:rsid w:val="00681925"/>
    <w:rsid w:val="00683E39"/>
    <w:rsid w:val="00685EE9"/>
    <w:rsid w:val="0069287F"/>
    <w:rsid w:val="006962A2"/>
    <w:rsid w:val="006B1E97"/>
    <w:rsid w:val="006C7C6B"/>
    <w:rsid w:val="006C7EDF"/>
    <w:rsid w:val="006F2F84"/>
    <w:rsid w:val="007217C2"/>
    <w:rsid w:val="0075503C"/>
    <w:rsid w:val="00773325"/>
    <w:rsid w:val="007765A7"/>
    <w:rsid w:val="007A34A3"/>
    <w:rsid w:val="007A46F6"/>
    <w:rsid w:val="007C3B24"/>
    <w:rsid w:val="007E03ED"/>
    <w:rsid w:val="007F048B"/>
    <w:rsid w:val="007F36BF"/>
    <w:rsid w:val="00800A40"/>
    <w:rsid w:val="008023B2"/>
    <w:rsid w:val="00812D9A"/>
    <w:rsid w:val="00816993"/>
    <w:rsid w:val="008429B2"/>
    <w:rsid w:val="00854AE2"/>
    <w:rsid w:val="00861E83"/>
    <w:rsid w:val="008735FA"/>
    <w:rsid w:val="008A56BB"/>
    <w:rsid w:val="008B0414"/>
    <w:rsid w:val="00900E8B"/>
    <w:rsid w:val="00902999"/>
    <w:rsid w:val="00926115"/>
    <w:rsid w:val="009326AD"/>
    <w:rsid w:val="00934469"/>
    <w:rsid w:val="009373B2"/>
    <w:rsid w:val="00971F68"/>
    <w:rsid w:val="009779DD"/>
    <w:rsid w:val="00980CE8"/>
    <w:rsid w:val="00983E9B"/>
    <w:rsid w:val="00985EB8"/>
    <w:rsid w:val="009A4CAD"/>
    <w:rsid w:val="009A5543"/>
    <w:rsid w:val="00A03375"/>
    <w:rsid w:val="00A11870"/>
    <w:rsid w:val="00A12158"/>
    <w:rsid w:val="00A20827"/>
    <w:rsid w:val="00A45033"/>
    <w:rsid w:val="00A4568E"/>
    <w:rsid w:val="00A56BB7"/>
    <w:rsid w:val="00A826FC"/>
    <w:rsid w:val="00A84A27"/>
    <w:rsid w:val="00A93226"/>
    <w:rsid w:val="00AB2530"/>
    <w:rsid w:val="00AC3CA3"/>
    <w:rsid w:val="00AE752B"/>
    <w:rsid w:val="00AE7B4A"/>
    <w:rsid w:val="00AF63C3"/>
    <w:rsid w:val="00AF6638"/>
    <w:rsid w:val="00AF7ABA"/>
    <w:rsid w:val="00B03BE9"/>
    <w:rsid w:val="00B04F10"/>
    <w:rsid w:val="00B10A99"/>
    <w:rsid w:val="00B26A91"/>
    <w:rsid w:val="00B31A97"/>
    <w:rsid w:val="00B35192"/>
    <w:rsid w:val="00B4184B"/>
    <w:rsid w:val="00B503C3"/>
    <w:rsid w:val="00B53527"/>
    <w:rsid w:val="00B679A0"/>
    <w:rsid w:val="00B739F7"/>
    <w:rsid w:val="00B83677"/>
    <w:rsid w:val="00B83DFC"/>
    <w:rsid w:val="00BA0CBA"/>
    <w:rsid w:val="00BA6BF1"/>
    <w:rsid w:val="00BB6120"/>
    <w:rsid w:val="00BC602E"/>
    <w:rsid w:val="00BE10B2"/>
    <w:rsid w:val="00BF4D24"/>
    <w:rsid w:val="00C40E3E"/>
    <w:rsid w:val="00C53237"/>
    <w:rsid w:val="00C82D7C"/>
    <w:rsid w:val="00C87749"/>
    <w:rsid w:val="00C94CE0"/>
    <w:rsid w:val="00CA3073"/>
    <w:rsid w:val="00CA56C0"/>
    <w:rsid w:val="00CB4EC7"/>
    <w:rsid w:val="00CC4501"/>
    <w:rsid w:val="00D07D8D"/>
    <w:rsid w:val="00D21BAF"/>
    <w:rsid w:val="00D21E35"/>
    <w:rsid w:val="00D26546"/>
    <w:rsid w:val="00D34A0D"/>
    <w:rsid w:val="00D35A8E"/>
    <w:rsid w:val="00D41B10"/>
    <w:rsid w:val="00D44982"/>
    <w:rsid w:val="00D55836"/>
    <w:rsid w:val="00D617B3"/>
    <w:rsid w:val="00D71081"/>
    <w:rsid w:val="00D7367D"/>
    <w:rsid w:val="00D84A6F"/>
    <w:rsid w:val="00D84A92"/>
    <w:rsid w:val="00D85185"/>
    <w:rsid w:val="00D932C4"/>
    <w:rsid w:val="00DA5946"/>
    <w:rsid w:val="00DC5464"/>
    <w:rsid w:val="00DD34AF"/>
    <w:rsid w:val="00DF0E0C"/>
    <w:rsid w:val="00DF2AEF"/>
    <w:rsid w:val="00E010C6"/>
    <w:rsid w:val="00E022DA"/>
    <w:rsid w:val="00E03B01"/>
    <w:rsid w:val="00E05DFB"/>
    <w:rsid w:val="00E1268E"/>
    <w:rsid w:val="00E17190"/>
    <w:rsid w:val="00E23AF2"/>
    <w:rsid w:val="00E41209"/>
    <w:rsid w:val="00E448E0"/>
    <w:rsid w:val="00E458FA"/>
    <w:rsid w:val="00E577FA"/>
    <w:rsid w:val="00E8454D"/>
    <w:rsid w:val="00EA2CC6"/>
    <w:rsid w:val="00EA5287"/>
    <w:rsid w:val="00EC01CC"/>
    <w:rsid w:val="00EC22F7"/>
    <w:rsid w:val="00EC3B37"/>
    <w:rsid w:val="00ED4099"/>
    <w:rsid w:val="00F07B30"/>
    <w:rsid w:val="00F429E6"/>
    <w:rsid w:val="00F475F3"/>
    <w:rsid w:val="00F4796B"/>
    <w:rsid w:val="00F871D1"/>
    <w:rsid w:val="00FA4F3D"/>
    <w:rsid w:val="00FE2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F9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6C0"/>
    <w:rPr>
      <w:rFonts w:ascii="Arial" w:hAnsi="Arial"/>
      <w:sz w:val="24"/>
    </w:rPr>
  </w:style>
  <w:style w:type="paragraph" w:styleId="Heading1">
    <w:name w:val="heading 1"/>
    <w:basedOn w:val="Normal"/>
    <w:next w:val="Normal"/>
    <w:link w:val="Heading1Char"/>
    <w:qFormat/>
    <w:rsid w:val="00CA56C0"/>
    <w:pPr>
      <w:keepNext/>
      <w:spacing w:before="240" w:after="60"/>
      <w:jc w:val="center"/>
      <w:outlineLvl w:val="0"/>
    </w:pPr>
    <w:rPr>
      <w:rFonts w:eastAsia="Times New Roman" w:cs="Arial"/>
      <w:b/>
      <w:bCs/>
      <w:kern w:val="32"/>
      <w:sz w:val="32"/>
      <w:szCs w:val="32"/>
      <w:u w:val="single"/>
    </w:rPr>
  </w:style>
  <w:style w:type="paragraph" w:styleId="Heading2">
    <w:name w:val="heading 2"/>
    <w:basedOn w:val="Heading1"/>
    <w:next w:val="Normal"/>
    <w:link w:val="Heading2Char"/>
    <w:qFormat/>
    <w:rsid w:val="00CA56C0"/>
    <w:pPr>
      <w:spacing w:before="480" w:after="240" w:line="240" w:lineRule="auto"/>
      <w:jc w:val="left"/>
      <w:outlineLvl w:val="1"/>
    </w:pPr>
    <w:rPr>
      <w:sz w:val="28"/>
      <w:szCs w:val="28"/>
    </w:rPr>
  </w:style>
  <w:style w:type="paragraph" w:styleId="Heading3">
    <w:name w:val="heading 3"/>
    <w:basedOn w:val="Normal"/>
    <w:next w:val="Normal"/>
    <w:link w:val="Heading3Char"/>
    <w:unhideWhenUsed/>
    <w:qFormat/>
    <w:rsid w:val="00CA56C0"/>
    <w:pPr>
      <w:spacing w:before="120" w:after="120" w:line="240" w:lineRule="auto"/>
      <w:outlineLvl w:val="2"/>
    </w:pPr>
    <w:rPr>
      <w:rFonts w:eastAsia="MS Mincho" w:cs="Arial"/>
      <w:b/>
      <w:i/>
      <w:color w:val="000000" w:themeColor="text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Italic">
    <w:name w:val="NotItalic"/>
    <w:basedOn w:val="DefaultParagraphFont"/>
    <w:uiPriority w:val="1"/>
    <w:qFormat/>
    <w:rsid w:val="00CA56C0"/>
    <w:rPr>
      <w:b w:val="0"/>
      <w:i w:val="0"/>
      <w:iCs/>
    </w:rPr>
  </w:style>
  <w:style w:type="paragraph" w:customStyle="1" w:styleId="Bullet1st">
    <w:name w:val="Bullet (1st)"/>
    <w:basedOn w:val="Normal"/>
    <w:link w:val="Bullet1stChar"/>
    <w:qFormat/>
    <w:rsid w:val="00CA56C0"/>
    <w:pPr>
      <w:numPr>
        <w:numId w:val="8"/>
      </w:numPr>
      <w:tabs>
        <w:tab w:val="left" w:pos="709"/>
      </w:tabs>
      <w:spacing w:after="120" w:line="240" w:lineRule="auto"/>
      <w:ind w:left="4046"/>
    </w:pPr>
    <w:rPr>
      <w:rFonts w:eastAsia="MS Mincho" w:cs="Arial"/>
      <w:szCs w:val="24"/>
      <w:lang w:eastAsia="ja-JP"/>
    </w:rPr>
  </w:style>
  <w:style w:type="character" w:customStyle="1" w:styleId="Bullet1stChar">
    <w:name w:val="Bullet (1st) Char"/>
    <w:basedOn w:val="DefaultParagraphFont"/>
    <w:link w:val="Bullet1st"/>
    <w:rsid w:val="00CA56C0"/>
    <w:rPr>
      <w:rFonts w:ascii="Arial" w:eastAsia="MS Mincho" w:hAnsi="Arial" w:cs="Arial"/>
      <w:sz w:val="24"/>
      <w:szCs w:val="24"/>
      <w:lang w:eastAsia="ja-JP"/>
    </w:rPr>
  </w:style>
  <w:style w:type="paragraph" w:customStyle="1" w:styleId="Bullet2ndindent">
    <w:name w:val="Bullet (2nd indent)"/>
    <w:basedOn w:val="Normal"/>
    <w:link w:val="Bullet2ndindentChar"/>
    <w:qFormat/>
    <w:rsid w:val="00CA56C0"/>
    <w:pPr>
      <w:numPr>
        <w:ilvl w:val="1"/>
        <w:numId w:val="1"/>
      </w:numPr>
      <w:spacing w:after="120" w:line="240" w:lineRule="auto"/>
      <w:ind w:left="1080"/>
    </w:pPr>
    <w:rPr>
      <w:rFonts w:eastAsia="Calibri" w:cs="Arial"/>
      <w:szCs w:val="24"/>
    </w:rPr>
  </w:style>
  <w:style w:type="character" w:customStyle="1" w:styleId="Bullet2ndindentChar">
    <w:name w:val="Bullet (2nd indent) Char"/>
    <w:basedOn w:val="DefaultParagraphFont"/>
    <w:link w:val="Bullet2ndindent"/>
    <w:rsid w:val="00CA56C0"/>
    <w:rPr>
      <w:rFonts w:ascii="Arial" w:eastAsia="Calibri" w:hAnsi="Arial" w:cs="Arial"/>
      <w:sz w:val="24"/>
      <w:szCs w:val="24"/>
    </w:rPr>
  </w:style>
  <w:style w:type="paragraph" w:customStyle="1" w:styleId="Box">
    <w:name w:val="Box"/>
    <w:basedOn w:val="Normal"/>
    <w:link w:val="BoxChar"/>
    <w:qFormat/>
    <w:rsid w:val="00CA56C0"/>
    <w:pPr>
      <w:tabs>
        <w:tab w:val="left" w:pos="454"/>
      </w:tabs>
      <w:adjustRightInd w:val="0"/>
      <w:spacing w:before="120" w:after="170" w:line="280" w:lineRule="exact"/>
      <w:textAlignment w:val="baseline"/>
    </w:pPr>
    <w:rPr>
      <w:rFonts w:eastAsia="Times New Roman" w:cs="Verdana"/>
      <w:i/>
      <w:color w:val="000000"/>
      <w:szCs w:val="24"/>
    </w:rPr>
  </w:style>
  <w:style w:type="character" w:customStyle="1" w:styleId="BoxChar">
    <w:name w:val="Box Char"/>
    <w:basedOn w:val="DefaultParagraphFont"/>
    <w:link w:val="Box"/>
    <w:rsid w:val="00CA56C0"/>
    <w:rPr>
      <w:rFonts w:ascii="Arial" w:eastAsia="Times New Roman" w:hAnsi="Arial" w:cs="Verdana"/>
      <w:i/>
      <w:color w:val="000000"/>
      <w:sz w:val="24"/>
      <w:szCs w:val="24"/>
    </w:rPr>
  </w:style>
  <w:style w:type="paragraph" w:customStyle="1" w:styleId="Statement">
    <w:name w:val="Statement"/>
    <w:link w:val="StatementChar"/>
    <w:qFormat/>
    <w:rsid w:val="00CA56C0"/>
    <w:rPr>
      <w:rFonts w:ascii="Arial" w:eastAsia="MS Mincho" w:hAnsi="Arial" w:cs="Arial"/>
      <w:b/>
      <w:i/>
      <w:color w:val="000000" w:themeColor="text1"/>
      <w:sz w:val="24"/>
      <w:szCs w:val="24"/>
      <w:lang w:eastAsia="ja-JP"/>
    </w:rPr>
  </w:style>
  <w:style w:type="character" w:customStyle="1" w:styleId="StatementChar">
    <w:name w:val="Statement Char"/>
    <w:basedOn w:val="Heading3Char"/>
    <w:link w:val="Statement"/>
    <w:rsid w:val="00CA56C0"/>
    <w:rPr>
      <w:rFonts w:ascii="Arial" w:eastAsia="MS Mincho" w:hAnsi="Arial" w:cs="Arial"/>
      <w:b/>
      <w:i/>
      <w:color w:val="000000" w:themeColor="text1"/>
      <w:sz w:val="24"/>
      <w:szCs w:val="24"/>
      <w:lang w:eastAsia="ja-JP"/>
    </w:rPr>
  </w:style>
  <w:style w:type="paragraph" w:customStyle="1" w:styleId="Question">
    <w:name w:val="Question"/>
    <w:link w:val="QuestionChar"/>
    <w:qFormat/>
    <w:rsid w:val="00CA56C0"/>
    <w:pPr>
      <w:numPr>
        <w:numId w:val="9"/>
      </w:numPr>
      <w:spacing w:before="480"/>
      <w:ind w:left="360"/>
    </w:pPr>
    <w:rPr>
      <w:rFonts w:ascii="Arial" w:eastAsia="MS Mincho" w:hAnsi="Arial" w:cs="Arial"/>
      <w:b/>
      <w:i/>
      <w:color w:val="000000" w:themeColor="text1"/>
      <w:sz w:val="24"/>
      <w:szCs w:val="24"/>
      <w:lang w:eastAsia="ja-JP"/>
    </w:rPr>
  </w:style>
  <w:style w:type="character" w:customStyle="1" w:styleId="QuestionChar">
    <w:name w:val="Question Char"/>
    <w:basedOn w:val="Heading3Char"/>
    <w:link w:val="Question"/>
    <w:rsid w:val="00CA56C0"/>
    <w:rPr>
      <w:rFonts w:ascii="Arial" w:eastAsia="MS Mincho" w:hAnsi="Arial" w:cs="Arial"/>
      <w:b/>
      <w:i/>
      <w:color w:val="000000" w:themeColor="text1"/>
      <w:sz w:val="24"/>
      <w:szCs w:val="24"/>
      <w:lang w:eastAsia="ja-JP"/>
    </w:rPr>
  </w:style>
  <w:style w:type="paragraph" w:customStyle="1" w:styleId="Finding">
    <w:name w:val="Finding"/>
    <w:basedOn w:val="Box"/>
    <w:link w:val="FindingChar"/>
    <w:qFormat/>
    <w:rsid w:val="00CA56C0"/>
  </w:style>
  <w:style w:type="character" w:customStyle="1" w:styleId="FindingChar">
    <w:name w:val="Finding Char"/>
    <w:basedOn w:val="BoxChar"/>
    <w:link w:val="Finding"/>
    <w:rsid w:val="00CA56C0"/>
    <w:rPr>
      <w:rFonts w:ascii="Arial" w:eastAsia="Times New Roman" w:hAnsi="Arial" w:cs="Verdana"/>
      <w:i/>
      <w:color w:val="000000"/>
      <w:sz w:val="24"/>
      <w:szCs w:val="24"/>
    </w:rPr>
  </w:style>
  <w:style w:type="character" w:customStyle="1" w:styleId="NotBold">
    <w:name w:val="NotBold"/>
    <w:uiPriority w:val="1"/>
    <w:qFormat/>
    <w:rsid w:val="00CA56C0"/>
  </w:style>
  <w:style w:type="character" w:customStyle="1" w:styleId="Heading1Char">
    <w:name w:val="Heading 1 Char"/>
    <w:basedOn w:val="DefaultParagraphFont"/>
    <w:link w:val="Heading1"/>
    <w:rsid w:val="00CA56C0"/>
    <w:rPr>
      <w:rFonts w:ascii="Arial" w:eastAsia="Times New Roman" w:hAnsi="Arial" w:cs="Arial"/>
      <w:b/>
      <w:bCs/>
      <w:kern w:val="32"/>
      <w:sz w:val="32"/>
      <w:szCs w:val="32"/>
      <w:u w:val="single"/>
    </w:rPr>
  </w:style>
  <w:style w:type="character" w:customStyle="1" w:styleId="Heading2Char">
    <w:name w:val="Heading 2 Char"/>
    <w:basedOn w:val="DefaultParagraphFont"/>
    <w:link w:val="Heading2"/>
    <w:rsid w:val="00CA56C0"/>
    <w:rPr>
      <w:rFonts w:ascii="Arial" w:eastAsia="Times New Roman" w:hAnsi="Arial" w:cs="Arial"/>
      <w:b/>
      <w:bCs/>
      <w:kern w:val="32"/>
      <w:sz w:val="28"/>
      <w:szCs w:val="28"/>
      <w:u w:val="single"/>
    </w:rPr>
  </w:style>
  <w:style w:type="character" w:customStyle="1" w:styleId="Heading3Char">
    <w:name w:val="Heading 3 Char"/>
    <w:basedOn w:val="DefaultParagraphFont"/>
    <w:link w:val="Heading3"/>
    <w:rsid w:val="00CA56C0"/>
    <w:rPr>
      <w:rFonts w:ascii="Arial" w:eastAsia="MS Mincho" w:hAnsi="Arial" w:cs="Arial"/>
      <w:b/>
      <w:i/>
      <w:color w:val="000000" w:themeColor="text1"/>
      <w:sz w:val="24"/>
      <w:szCs w:val="24"/>
      <w:lang w:eastAsia="ja-JP"/>
    </w:rPr>
  </w:style>
  <w:style w:type="character" w:styleId="Strong">
    <w:name w:val="Strong"/>
    <w:uiPriority w:val="22"/>
    <w:qFormat/>
    <w:rsid w:val="00CA56C0"/>
    <w:rPr>
      <w:b/>
      <w:bCs/>
    </w:rPr>
  </w:style>
  <w:style w:type="character" w:styleId="Emphasis">
    <w:name w:val="Emphasis"/>
    <w:qFormat/>
    <w:rsid w:val="00CA56C0"/>
    <w:rPr>
      <w:b/>
      <w:iCs/>
      <w:color w:val="000000" w:themeColor="text1"/>
    </w:rPr>
  </w:style>
  <w:style w:type="paragraph" w:styleId="NoSpacing">
    <w:name w:val="No Spacing"/>
    <w:uiPriority w:val="1"/>
    <w:qFormat/>
    <w:rsid w:val="00CA56C0"/>
    <w:pPr>
      <w:spacing w:after="0" w:line="240" w:lineRule="auto"/>
    </w:pPr>
    <w:rPr>
      <w:rFonts w:ascii="Calibri" w:eastAsia="Times New Roman" w:hAnsi="Calibri" w:cs="Times New Roman"/>
      <w:lang w:val="en-US"/>
    </w:rPr>
  </w:style>
  <w:style w:type="paragraph" w:styleId="ListParagraph">
    <w:name w:val="List Paragraph"/>
    <w:aliases w:val="Dot pt"/>
    <w:basedOn w:val="Normal"/>
    <w:link w:val="ListParagraphChar"/>
    <w:uiPriority w:val="34"/>
    <w:qFormat/>
    <w:rsid w:val="00CA56C0"/>
    <w:pPr>
      <w:ind w:left="720"/>
      <w:contextualSpacing/>
    </w:pPr>
    <w:rPr>
      <w:rFonts w:asciiTheme="minorHAnsi" w:hAnsiTheme="minorHAnsi"/>
      <w:sz w:val="22"/>
    </w:rPr>
  </w:style>
  <w:style w:type="character" w:customStyle="1" w:styleId="ListParagraphChar">
    <w:name w:val="List Paragraph Char"/>
    <w:aliases w:val="Dot pt Char"/>
    <w:basedOn w:val="DefaultParagraphFont"/>
    <w:link w:val="ListParagraph"/>
    <w:uiPriority w:val="34"/>
    <w:locked/>
    <w:rsid w:val="00CA56C0"/>
  </w:style>
  <w:style w:type="character" w:styleId="SubtleReference">
    <w:name w:val="Subtle Reference"/>
    <w:uiPriority w:val="31"/>
    <w:qFormat/>
    <w:rsid w:val="00CA56C0"/>
    <w:rPr>
      <w:b/>
    </w:rPr>
  </w:style>
  <w:style w:type="paragraph" w:styleId="TOCHeading">
    <w:name w:val="TOC Heading"/>
    <w:basedOn w:val="Heading1"/>
    <w:next w:val="Normal"/>
    <w:uiPriority w:val="39"/>
    <w:unhideWhenUsed/>
    <w:qFormat/>
    <w:rsid w:val="00CA56C0"/>
    <w:pPr>
      <w:keepLines/>
      <w:spacing w:before="480" w:after="0"/>
      <w:jc w:val="left"/>
      <w:outlineLvl w:val="9"/>
    </w:pPr>
    <w:rPr>
      <w:rFonts w:asciiTheme="majorHAnsi" w:eastAsiaTheme="majorEastAsia" w:hAnsiTheme="majorHAnsi" w:cstheme="majorBidi"/>
      <w:color w:val="365F91" w:themeColor="accent1" w:themeShade="BF"/>
      <w:kern w:val="0"/>
      <w:sz w:val="28"/>
      <w:szCs w:val="28"/>
      <w:u w:val="none"/>
      <w:lang w:val="en-US" w:eastAsia="ja-JP"/>
    </w:rPr>
  </w:style>
  <w:style w:type="paragraph" w:styleId="Header">
    <w:name w:val="header"/>
    <w:basedOn w:val="Normal"/>
    <w:link w:val="HeaderChar"/>
    <w:uiPriority w:val="99"/>
    <w:unhideWhenUsed/>
    <w:rsid w:val="00E45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8FA"/>
    <w:rPr>
      <w:rFonts w:ascii="Arial" w:hAnsi="Arial"/>
      <w:sz w:val="24"/>
    </w:rPr>
  </w:style>
  <w:style w:type="paragraph" w:customStyle="1" w:styleId="BISOddHeader">
    <w:name w:val="BIS Odd Header"/>
    <w:basedOn w:val="Normal"/>
    <w:autoRedefine/>
    <w:rsid w:val="00E458FA"/>
    <w:pPr>
      <w:tabs>
        <w:tab w:val="center" w:pos="4153"/>
        <w:tab w:val="right" w:pos="8306"/>
      </w:tabs>
      <w:spacing w:after="288" w:line="240" w:lineRule="auto"/>
      <w:jc w:val="right"/>
    </w:pPr>
    <w:rPr>
      <w:rFonts w:eastAsia="Times New Roman" w:cs="Times New Roman"/>
      <w:color w:val="003478"/>
      <w:sz w:val="18"/>
      <w:szCs w:val="24"/>
    </w:rPr>
  </w:style>
  <w:style w:type="paragraph" w:customStyle="1" w:styleId="BISEvenHeader">
    <w:name w:val="BIS Even Header"/>
    <w:basedOn w:val="BISOddHeader"/>
    <w:rsid w:val="00E458FA"/>
    <w:pPr>
      <w:jc w:val="left"/>
    </w:pPr>
  </w:style>
  <w:style w:type="paragraph" w:styleId="BalloonText">
    <w:name w:val="Balloon Text"/>
    <w:basedOn w:val="Normal"/>
    <w:link w:val="BalloonTextChar"/>
    <w:uiPriority w:val="99"/>
    <w:semiHidden/>
    <w:unhideWhenUsed/>
    <w:rsid w:val="00E45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8FA"/>
    <w:rPr>
      <w:rFonts w:ascii="Tahoma" w:hAnsi="Tahoma" w:cs="Tahoma"/>
      <w:sz w:val="16"/>
      <w:szCs w:val="16"/>
    </w:rPr>
  </w:style>
  <w:style w:type="paragraph" w:styleId="Footer">
    <w:name w:val="footer"/>
    <w:basedOn w:val="Normal"/>
    <w:link w:val="FooterChar"/>
    <w:uiPriority w:val="99"/>
    <w:unhideWhenUsed/>
    <w:rsid w:val="007F0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48B"/>
    <w:rPr>
      <w:rFonts w:ascii="Arial" w:hAnsi="Arial"/>
      <w:sz w:val="24"/>
    </w:rPr>
  </w:style>
  <w:style w:type="character" w:styleId="Hyperlink">
    <w:name w:val="Hyperlink"/>
    <w:basedOn w:val="DefaultParagraphFont"/>
    <w:uiPriority w:val="99"/>
    <w:unhideWhenUsed/>
    <w:rsid w:val="001A54B9"/>
    <w:rPr>
      <w:color w:val="0000FF" w:themeColor="hyperlink"/>
      <w:u w:val="single"/>
    </w:rPr>
  </w:style>
  <w:style w:type="paragraph" w:styleId="PlainText">
    <w:name w:val="Plain Text"/>
    <w:basedOn w:val="Normal"/>
    <w:link w:val="PlainTextChar"/>
    <w:uiPriority w:val="99"/>
    <w:unhideWhenUsed/>
    <w:rsid w:val="008429B2"/>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8429B2"/>
    <w:rPr>
      <w:rFonts w:ascii="Calibri" w:hAnsi="Calibri"/>
      <w:szCs w:val="21"/>
    </w:rPr>
  </w:style>
  <w:style w:type="paragraph" w:styleId="FootnoteText">
    <w:name w:val="footnote text"/>
    <w:basedOn w:val="Normal"/>
    <w:link w:val="FootnoteTextChar"/>
    <w:uiPriority w:val="99"/>
    <w:semiHidden/>
    <w:unhideWhenUsed/>
    <w:rsid w:val="003A299F"/>
    <w:pPr>
      <w:spacing w:after="0" w:line="240" w:lineRule="auto"/>
    </w:pPr>
    <w:rPr>
      <w:rFonts w:ascii="Times New Roman" w:eastAsia="Times New Roman" w:hAnsi="Times New Roman" w:cs="Times New Roman"/>
      <w:sz w:val="20"/>
      <w:szCs w:val="24"/>
      <w:lang w:eastAsia="en-GB"/>
    </w:rPr>
  </w:style>
  <w:style w:type="character" w:customStyle="1" w:styleId="FootnoteTextChar">
    <w:name w:val="Footnote Text Char"/>
    <w:basedOn w:val="DefaultParagraphFont"/>
    <w:link w:val="FootnoteText"/>
    <w:uiPriority w:val="99"/>
    <w:semiHidden/>
    <w:rsid w:val="003A299F"/>
    <w:rPr>
      <w:rFonts w:ascii="Times New Roman" w:eastAsia="Times New Roman" w:hAnsi="Times New Roman" w:cs="Times New Roman"/>
      <w:sz w:val="20"/>
      <w:szCs w:val="24"/>
      <w:lang w:eastAsia="en-GB"/>
    </w:rPr>
  </w:style>
  <w:style w:type="character" w:styleId="FootnoteReference">
    <w:name w:val="footnote reference"/>
    <w:uiPriority w:val="99"/>
    <w:semiHidden/>
    <w:unhideWhenUsed/>
    <w:rsid w:val="003A299F"/>
    <w:rPr>
      <w:vertAlign w:val="superscript"/>
    </w:rPr>
  </w:style>
  <w:style w:type="character" w:styleId="CommentReference">
    <w:name w:val="annotation reference"/>
    <w:basedOn w:val="DefaultParagraphFont"/>
    <w:uiPriority w:val="99"/>
    <w:semiHidden/>
    <w:unhideWhenUsed/>
    <w:rsid w:val="00D84A92"/>
    <w:rPr>
      <w:sz w:val="16"/>
      <w:szCs w:val="16"/>
    </w:rPr>
  </w:style>
  <w:style w:type="paragraph" w:styleId="CommentText">
    <w:name w:val="annotation text"/>
    <w:basedOn w:val="Normal"/>
    <w:link w:val="CommentTextChar"/>
    <w:uiPriority w:val="99"/>
    <w:unhideWhenUsed/>
    <w:rsid w:val="00D84A92"/>
    <w:pPr>
      <w:spacing w:line="240" w:lineRule="auto"/>
    </w:pPr>
    <w:rPr>
      <w:sz w:val="20"/>
      <w:szCs w:val="20"/>
    </w:rPr>
  </w:style>
  <w:style w:type="character" w:customStyle="1" w:styleId="CommentTextChar">
    <w:name w:val="Comment Text Char"/>
    <w:basedOn w:val="DefaultParagraphFont"/>
    <w:link w:val="CommentText"/>
    <w:uiPriority w:val="99"/>
    <w:rsid w:val="00D84A9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84A92"/>
    <w:rPr>
      <w:b/>
      <w:bCs/>
    </w:rPr>
  </w:style>
  <w:style w:type="character" w:customStyle="1" w:styleId="CommentSubjectChar">
    <w:name w:val="Comment Subject Char"/>
    <w:basedOn w:val="CommentTextChar"/>
    <w:link w:val="CommentSubject"/>
    <w:uiPriority w:val="99"/>
    <w:semiHidden/>
    <w:rsid w:val="00D84A92"/>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6C0"/>
    <w:rPr>
      <w:rFonts w:ascii="Arial" w:hAnsi="Arial"/>
      <w:sz w:val="24"/>
    </w:rPr>
  </w:style>
  <w:style w:type="paragraph" w:styleId="Heading1">
    <w:name w:val="heading 1"/>
    <w:basedOn w:val="Normal"/>
    <w:next w:val="Normal"/>
    <w:link w:val="Heading1Char"/>
    <w:qFormat/>
    <w:rsid w:val="00CA56C0"/>
    <w:pPr>
      <w:keepNext/>
      <w:spacing w:before="240" w:after="60"/>
      <w:jc w:val="center"/>
      <w:outlineLvl w:val="0"/>
    </w:pPr>
    <w:rPr>
      <w:rFonts w:eastAsia="Times New Roman" w:cs="Arial"/>
      <w:b/>
      <w:bCs/>
      <w:kern w:val="32"/>
      <w:sz w:val="32"/>
      <w:szCs w:val="32"/>
      <w:u w:val="single"/>
    </w:rPr>
  </w:style>
  <w:style w:type="paragraph" w:styleId="Heading2">
    <w:name w:val="heading 2"/>
    <w:basedOn w:val="Heading1"/>
    <w:next w:val="Normal"/>
    <w:link w:val="Heading2Char"/>
    <w:qFormat/>
    <w:rsid w:val="00CA56C0"/>
    <w:pPr>
      <w:spacing w:before="480" w:after="240" w:line="240" w:lineRule="auto"/>
      <w:jc w:val="left"/>
      <w:outlineLvl w:val="1"/>
    </w:pPr>
    <w:rPr>
      <w:sz w:val="28"/>
      <w:szCs w:val="28"/>
    </w:rPr>
  </w:style>
  <w:style w:type="paragraph" w:styleId="Heading3">
    <w:name w:val="heading 3"/>
    <w:basedOn w:val="Normal"/>
    <w:next w:val="Normal"/>
    <w:link w:val="Heading3Char"/>
    <w:unhideWhenUsed/>
    <w:qFormat/>
    <w:rsid w:val="00CA56C0"/>
    <w:pPr>
      <w:spacing w:before="120" w:after="120" w:line="240" w:lineRule="auto"/>
      <w:outlineLvl w:val="2"/>
    </w:pPr>
    <w:rPr>
      <w:rFonts w:eastAsia="MS Mincho" w:cs="Arial"/>
      <w:b/>
      <w:i/>
      <w:color w:val="000000" w:themeColor="text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Italic">
    <w:name w:val="NotItalic"/>
    <w:basedOn w:val="DefaultParagraphFont"/>
    <w:uiPriority w:val="1"/>
    <w:qFormat/>
    <w:rsid w:val="00CA56C0"/>
    <w:rPr>
      <w:b w:val="0"/>
      <w:i w:val="0"/>
      <w:iCs/>
    </w:rPr>
  </w:style>
  <w:style w:type="paragraph" w:customStyle="1" w:styleId="Bullet1st">
    <w:name w:val="Bullet (1st)"/>
    <w:basedOn w:val="Normal"/>
    <w:link w:val="Bullet1stChar"/>
    <w:qFormat/>
    <w:rsid w:val="00CA56C0"/>
    <w:pPr>
      <w:numPr>
        <w:numId w:val="8"/>
      </w:numPr>
      <w:tabs>
        <w:tab w:val="left" w:pos="709"/>
      </w:tabs>
      <w:spacing w:after="120" w:line="240" w:lineRule="auto"/>
      <w:ind w:left="4046"/>
    </w:pPr>
    <w:rPr>
      <w:rFonts w:eastAsia="MS Mincho" w:cs="Arial"/>
      <w:szCs w:val="24"/>
      <w:lang w:eastAsia="ja-JP"/>
    </w:rPr>
  </w:style>
  <w:style w:type="character" w:customStyle="1" w:styleId="Bullet1stChar">
    <w:name w:val="Bullet (1st) Char"/>
    <w:basedOn w:val="DefaultParagraphFont"/>
    <w:link w:val="Bullet1st"/>
    <w:rsid w:val="00CA56C0"/>
    <w:rPr>
      <w:rFonts w:ascii="Arial" w:eastAsia="MS Mincho" w:hAnsi="Arial" w:cs="Arial"/>
      <w:sz w:val="24"/>
      <w:szCs w:val="24"/>
      <w:lang w:eastAsia="ja-JP"/>
    </w:rPr>
  </w:style>
  <w:style w:type="paragraph" w:customStyle="1" w:styleId="Bullet2ndindent">
    <w:name w:val="Bullet (2nd indent)"/>
    <w:basedOn w:val="Normal"/>
    <w:link w:val="Bullet2ndindentChar"/>
    <w:qFormat/>
    <w:rsid w:val="00CA56C0"/>
    <w:pPr>
      <w:numPr>
        <w:ilvl w:val="1"/>
        <w:numId w:val="1"/>
      </w:numPr>
      <w:spacing w:after="120" w:line="240" w:lineRule="auto"/>
      <w:ind w:left="1080"/>
    </w:pPr>
    <w:rPr>
      <w:rFonts w:eastAsia="Calibri" w:cs="Arial"/>
      <w:szCs w:val="24"/>
    </w:rPr>
  </w:style>
  <w:style w:type="character" w:customStyle="1" w:styleId="Bullet2ndindentChar">
    <w:name w:val="Bullet (2nd indent) Char"/>
    <w:basedOn w:val="DefaultParagraphFont"/>
    <w:link w:val="Bullet2ndindent"/>
    <w:rsid w:val="00CA56C0"/>
    <w:rPr>
      <w:rFonts w:ascii="Arial" w:eastAsia="Calibri" w:hAnsi="Arial" w:cs="Arial"/>
      <w:sz w:val="24"/>
      <w:szCs w:val="24"/>
    </w:rPr>
  </w:style>
  <w:style w:type="paragraph" w:customStyle="1" w:styleId="Box">
    <w:name w:val="Box"/>
    <w:basedOn w:val="Normal"/>
    <w:link w:val="BoxChar"/>
    <w:qFormat/>
    <w:rsid w:val="00CA56C0"/>
    <w:pPr>
      <w:tabs>
        <w:tab w:val="left" w:pos="454"/>
      </w:tabs>
      <w:adjustRightInd w:val="0"/>
      <w:spacing w:before="120" w:after="170" w:line="280" w:lineRule="exact"/>
      <w:textAlignment w:val="baseline"/>
    </w:pPr>
    <w:rPr>
      <w:rFonts w:eastAsia="Times New Roman" w:cs="Verdana"/>
      <w:i/>
      <w:color w:val="000000"/>
      <w:szCs w:val="24"/>
    </w:rPr>
  </w:style>
  <w:style w:type="character" w:customStyle="1" w:styleId="BoxChar">
    <w:name w:val="Box Char"/>
    <w:basedOn w:val="DefaultParagraphFont"/>
    <w:link w:val="Box"/>
    <w:rsid w:val="00CA56C0"/>
    <w:rPr>
      <w:rFonts w:ascii="Arial" w:eastAsia="Times New Roman" w:hAnsi="Arial" w:cs="Verdana"/>
      <w:i/>
      <w:color w:val="000000"/>
      <w:sz w:val="24"/>
      <w:szCs w:val="24"/>
    </w:rPr>
  </w:style>
  <w:style w:type="paragraph" w:customStyle="1" w:styleId="Statement">
    <w:name w:val="Statement"/>
    <w:link w:val="StatementChar"/>
    <w:qFormat/>
    <w:rsid w:val="00CA56C0"/>
    <w:rPr>
      <w:rFonts w:ascii="Arial" w:eastAsia="MS Mincho" w:hAnsi="Arial" w:cs="Arial"/>
      <w:b/>
      <w:i/>
      <w:color w:val="000000" w:themeColor="text1"/>
      <w:sz w:val="24"/>
      <w:szCs w:val="24"/>
      <w:lang w:eastAsia="ja-JP"/>
    </w:rPr>
  </w:style>
  <w:style w:type="character" w:customStyle="1" w:styleId="StatementChar">
    <w:name w:val="Statement Char"/>
    <w:basedOn w:val="Heading3Char"/>
    <w:link w:val="Statement"/>
    <w:rsid w:val="00CA56C0"/>
    <w:rPr>
      <w:rFonts w:ascii="Arial" w:eastAsia="MS Mincho" w:hAnsi="Arial" w:cs="Arial"/>
      <w:b/>
      <w:i/>
      <w:color w:val="000000" w:themeColor="text1"/>
      <w:sz w:val="24"/>
      <w:szCs w:val="24"/>
      <w:lang w:eastAsia="ja-JP"/>
    </w:rPr>
  </w:style>
  <w:style w:type="paragraph" w:customStyle="1" w:styleId="Question">
    <w:name w:val="Question"/>
    <w:link w:val="QuestionChar"/>
    <w:qFormat/>
    <w:rsid w:val="00CA56C0"/>
    <w:pPr>
      <w:numPr>
        <w:numId w:val="9"/>
      </w:numPr>
      <w:spacing w:before="480"/>
      <w:ind w:left="360"/>
    </w:pPr>
    <w:rPr>
      <w:rFonts w:ascii="Arial" w:eastAsia="MS Mincho" w:hAnsi="Arial" w:cs="Arial"/>
      <w:b/>
      <w:i/>
      <w:color w:val="000000" w:themeColor="text1"/>
      <w:sz w:val="24"/>
      <w:szCs w:val="24"/>
      <w:lang w:eastAsia="ja-JP"/>
    </w:rPr>
  </w:style>
  <w:style w:type="character" w:customStyle="1" w:styleId="QuestionChar">
    <w:name w:val="Question Char"/>
    <w:basedOn w:val="Heading3Char"/>
    <w:link w:val="Question"/>
    <w:rsid w:val="00CA56C0"/>
    <w:rPr>
      <w:rFonts w:ascii="Arial" w:eastAsia="MS Mincho" w:hAnsi="Arial" w:cs="Arial"/>
      <w:b/>
      <w:i/>
      <w:color w:val="000000" w:themeColor="text1"/>
      <w:sz w:val="24"/>
      <w:szCs w:val="24"/>
      <w:lang w:eastAsia="ja-JP"/>
    </w:rPr>
  </w:style>
  <w:style w:type="paragraph" w:customStyle="1" w:styleId="Finding">
    <w:name w:val="Finding"/>
    <w:basedOn w:val="Box"/>
    <w:link w:val="FindingChar"/>
    <w:qFormat/>
    <w:rsid w:val="00CA56C0"/>
  </w:style>
  <w:style w:type="character" w:customStyle="1" w:styleId="FindingChar">
    <w:name w:val="Finding Char"/>
    <w:basedOn w:val="BoxChar"/>
    <w:link w:val="Finding"/>
    <w:rsid w:val="00CA56C0"/>
    <w:rPr>
      <w:rFonts w:ascii="Arial" w:eastAsia="Times New Roman" w:hAnsi="Arial" w:cs="Verdana"/>
      <w:i/>
      <w:color w:val="000000"/>
      <w:sz w:val="24"/>
      <w:szCs w:val="24"/>
    </w:rPr>
  </w:style>
  <w:style w:type="character" w:customStyle="1" w:styleId="NotBold">
    <w:name w:val="NotBold"/>
    <w:uiPriority w:val="1"/>
    <w:qFormat/>
    <w:rsid w:val="00CA56C0"/>
  </w:style>
  <w:style w:type="character" w:customStyle="1" w:styleId="Heading1Char">
    <w:name w:val="Heading 1 Char"/>
    <w:basedOn w:val="DefaultParagraphFont"/>
    <w:link w:val="Heading1"/>
    <w:rsid w:val="00CA56C0"/>
    <w:rPr>
      <w:rFonts w:ascii="Arial" w:eastAsia="Times New Roman" w:hAnsi="Arial" w:cs="Arial"/>
      <w:b/>
      <w:bCs/>
      <w:kern w:val="32"/>
      <w:sz w:val="32"/>
      <w:szCs w:val="32"/>
      <w:u w:val="single"/>
    </w:rPr>
  </w:style>
  <w:style w:type="character" w:customStyle="1" w:styleId="Heading2Char">
    <w:name w:val="Heading 2 Char"/>
    <w:basedOn w:val="DefaultParagraphFont"/>
    <w:link w:val="Heading2"/>
    <w:rsid w:val="00CA56C0"/>
    <w:rPr>
      <w:rFonts w:ascii="Arial" w:eastAsia="Times New Roman" w:hAnsi="Arial" w:cs="Arial"/>
      <w:b/>
      <w:bCs/>
      <w:kern w:val="32"/>
      <w:sz w:val="28"/>
      <w:szCs w:val="28"/>
      <w:u w:val="single"/>
    </w:rPr>
  </w:style>
  <w:style w:type="character" w:customStyle="1" w:styleId="Heading3Char">
    <w:name w:val="Heading 3 Char"/>
    <w:basedOn w:val="DefaultParagraphFont"/>
    <w:link w:val="Heading3"/>
    <w:rsid w:val="00CA56C0"/>
    <w:rPr>
      <w:rFonts w:ascii="Arial" w:eastAsia="MS Mincho" w:hAnsi="Arial" w:cs="Arial"/>
      <w:b/>
      <w:i/>
      <w:color w:val="000000" w:themeColor="text1"/>
      <w:sz w:val="24"/>
      <w:szCs w:val="24"/>
      <w:lang w:eastAsia="ja-JP"/>
    </w:rPr>
  </w:style>
  <w:style w:type="character" w:styleId="Strong">
    <w:name w:val="Strong"/>
    <w:uiPriority w:val="22"/>
    <w:qFormat/>
    <w:rsid w:val="00CA56C0"/>
    <w:rPr>
      <w:b/>
      <w:bCs/>
    </w:rPr>
  </w:style>
  <w:style w:type="character" w:styleId="Emphasis">
    <w:name w:val="Emphasis"/>
    <w:qFormat/>
    <w:rsid w:val="00CA56C0"/>
    <w:rPr>
      <w:b/>
      <w:iCs/>
      <w:color w:val="000000" w:themeColor="text1"/>
    </w:rPr>
  </w:style>
  <w:style w:type="paragraph" w:styleId="NoSpacing">
    <w:name w:val="No Spacing"/>
    <w:uiPriority w:val="1"/>
    <w:qFormat/>
    <w:rsid w:val="00CA56C0"/>
    <w:pPr>
      <w:spacing w:after="0" w:line="240" w:lineRule="auto"/>
    </w:pPr>
    <w:rPr>
      <w:rFonts w:ascii="Calibri" w:eastAsia="Times New Roman" w:hAnsi="Calibri" w:cs="Times New Roman"/>
      <w:lang w:val="en-US"/>
    </w:rPr>
  </w:style>
  <w:style w:type="paragraph" w:styleId="ListParagraph">
    <w:name w:val="List Paragraph"/>
    <w:aliases w:val="Dot pt"/>
    <w:basedOn w:val="Normal"/>
    <w:link w:val="ListParagraphChar"/>
    <w:uiPriority w:val="34"/>
    <w:qFormat/>
    <w:rsid w:val="00CA56C0"/>
    <w:pPr>
      <w:ind w:left="720"/>
      <w:contextualSpacing/>
    </w:pPr>
    <w:rPr>
      <w:rFonts w:asciiTheme="minorHAnsi" w:hAnsiTheme="minorHAnsi"/>
      <w:sz w:val="22"/>
    </w:rPr>
  </w:style>
  <w:style w:type="character" w:customStyle="1" w:styleId="ListParagraphChar">
    <w:name w:val="List Paragraph Char"/>
    <w:aliases w:val="Dot pt Char"/>
    <w:basedOn w:val="DefaultParagraphFont"/>
    <w:link w:val="ListParagraph"/>
    <w:uiPriority w:val="34"/>
    <w:locked/>
    <w:rsid w:val="00CA56C0"/>
  </w:style>
  <w:style w:type="character" w:styleId="SubtleReference">
    <w:name w:val="Subtle Reference"/>
    <w:uiPriority w:val="31"/>
    <w:qFormat/>
    <w:rsid w:val="00CA56C0"/>
    <w:rPr>
      <w:b/>
    </w:rPr>
  </w:style>
  <w:style w:type="paragraph" w:styleId="TOCHeading">
    <w:name w:val="TOC Heading"/>
    <w:basedOn w:val="Heading1"/>
    <w:next w:val="Normal"/>
    <w:uiPriority w:val="39"/>
    <w:unhideWhenUsed/>
    <w:qFormat/>
    <w:rsid w:val="00CA56C0"/>
    <w:pPr>
      <w:keepLines/>
      <w:spacing w:before="480" w:after="0"/>
      <w:jc w:val="left"/>
      <w:outlineLvl w:val="9"/>
    </w:pPr>
    <w:rPr>
      <w:rFonts w:asciiTheme="majorHAnsi" w:eastAsiaTheme="majorEastAsia" w:hAnsiTheme="majorHAnsi" w:cstheme="majorBidi"/>
      <w:color w:val="365F91" w:themeColor="accent1" w:themeShade="BF"/>
      <w:kern w:val="0"/>
      <w:sz w:val="28"/>
      <w:szCs w:val="28"/>
      <w:u w:val="none"/>
      <w:lang w:val="en-US" w:eastAsia="ja-JP"/>
    </w:rPr>
  </w:style>
  <w:style w:type="paragraph" w:styleId="Header">
    <w:name w:val="header"/>
    <w:basedOn w:val="Normal"/>
    <w:link w:val="HeaderChar"/>
    <w:uiPriority w:val="99"/>
    <w:unhideWhenUsed/>
    <w:rsid w:val="00E45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8FA"/>
    <w:rPr>
      <w:rFonts w:ascii="Arial" w:hAnsi="Arial"/>
      <w:sz w:val="24"/>
    </w:rPr>
  </w:style>
  <w:style w:type="paragraph" w:customStyle="1" w:styleId="BISOddHeader">
    <w:name w:val="BIS Odd Header"/>
    <w:basedOn w:val="Normal"/>
    <w:autoRedefine/>
    <w:rsid w:val="00E458FA"/>
    <w:pPr>
      <w:tabs>
        <w:tab w:val="center" w:pos="4153"/>
        <w:tab w:val="right" w:pos="8306"/>
      </w:tabs>
      <w:spacing w:after="288" w:line="240" w:lineRule="auto"/>
      <w:jc w:val="right"/>
    </w:pPr>
    <w:rPr>
      <w:rFonts w:eastAsia="Times New Roman" w:cs="Times New Roman"/>
      <w:color w:val="003478"/>
      <w:sz w:val="18"/>
      <w:szCs w:val="24"/>
    </w:rPr>
  </w:style>
  <w:style w:type="paragraph" w:customStyle="1" w:styleId="BISEvenHeader">
    <w:name w:val="BIS Even Header"/>
    <w:basedOn w:val="BISOddHeader"/>
    <w:rsid w:val="00E458FA"/>
    <w:pPr>
      <w:jc w:val="left"/>
    </w:pPr>
  </w:style>
  <w:style w:type="paragraph" w:styleId="BalloonText">
    <w:name w:val="Balloon Text"/>
    <w:basedOn w:val="Normal"/>
    <w:link w:val="BalloonTextChar"/>
    <w:uiPriority w:val="99"/>
    <w:semiHidden/>
    <w:unhideWhenUsed/>
    <w:rsid w:val="00E45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8FA"/>
    <w:rPr>
      <w:rFonts w:ascii="Tahoma" w:hAnsi="Tahoma" w:cs="Tahoma"/>
      <w:sz w:val="16"/>
      <w:szCs w:val="16"/>
    </w:rPr>
  </w:style>
  <w:style w:type="paragraph" w:styleId="Footer">
    <w:name w:val="footer"/>
    <w:basedOn w:val="Normal"/>
    <w:link w:val="FooterChar"/>
    <w:uiPriority w:val="99"/>
    <w:unhideWhenUsed/>
    <w:rsid w:val="007F0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48B"/>
    <w:rPr>
      <w:rFonts w:ascii="Arial" w:hAnsi="Arial"/>
      <w:sz w:val="24"/>
    </w:rPr>
  </w:style>
  <w:style w:type="character" w:styleId="Hyperlink">
    <w:name w:val="Hyperlink"/>
    <w:basedOn w:val="DefaultParagraphFont"/>
    <w:uiPriority w:val="99"/>
    <w:unhideWhenUsed/>
    <w:rsid w:val="001A54B9"/>
    <w:rPr>
      <w:color w:val="0000FF" w:themeColor="hyperlink"/>
      <w:u w:val="single"/>
    </w:rPr>
  </w:style>
  <w:style w:type="paragraph" w:styleId="PlainText">
    <w:name w:val="Plain Text"/>
    <w:basedOn w:val="Normal"/>
    <w:link w:val="PlainTextChar"/>
    <w:uiPriority w:val="99"/>
    <w:unhideWhenUsed/>
    <w:rsid w:val="008429B2"/>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8429B2"/>
    <w:rPr>
      <w:rFonts w:ascii="Calibri" w:hAnsi="Calibri"/>
      <w:szCs w:val="21"/>
    </w:rPr>
  </w:style>
  <w:style w:type="paragraph" w:styleId="FootnoteText">
    <w:name w:val="footnote text"/>
    <w:basedOn w:val="Normal"/>
    <w:link w:val="FootnoteTextChar"/>
    <w:uiPriority w:val="99"/>
    <w:semiHidden/>
    <w:unhideWhenUsed/>
    <w:rsid w:val="003A299F"/>
    <w:pPr>
      <w:spacing w:after="0" w:line="240" w:lineRule="auto"/>
    </w:pPr>
    <w:rPr>
      <w:rFonts w:ascii="Times New Roman" w:eastAsia="Times New Roman" w:hAnsi="Times New Roman" w:cs="Times New Roman"/>
      <w:sz w:val="20"/>
      <w:szCs w:val="24"/>
      <w:lang w:eastAsia="en-GB"/>
    </w:rPr>
  </w:style>
  <w:style w:type="character" w:customStyle="1" w:styleId="FootnoteTextChar">
    <w:name w:val="Footnote Text Char"/>
    <w:basedOn w:val="DefaultParagraphFont"/>
    <w:link w:val="FootnoteText"/>
    <w:uiPriority w:val="99"/>
    <w:semiHidden/>
    <w:rsid w:val="003A299F"/>
    <w:rPr>
      <w:rFonts w:ascii="Times New Roman" w:eastAsia="Times New Roman" w:hAnsi="Times New Roman" w:cs="Times New Roman"/>
      <w:sz w:val="20"/>
      <w:szCs w:val="24"/>
      <w:lang w:eastAsia="en-GB"/>
    </w:rPr>
  </w:style>
  <w:style w:type="character" w:styleId="FootnoteReference">
    <w:name w:val="footnote reference"/>
    <w:uiPriority w:val="99"/>
    <w:semiHidden/>
    <w:unhideWhenUsed/>
    <w:rsid w:val="003A299F"/>
    <w:rPr>
      <w:vertAlign w:val="superscript"/>
    </w:rPr>
  </w:style>
  <w:style w:type="character" w:styleId="CommentReference">
    <w:name w:val="annotation reference"/>
    <w:basedOn w:val="DefaultParagraphFont"/>
    <w:uiPriority w:val="99"/>
    <w:semiHidden/>
    <w:unhideWhenUsed/>
    <w:rsid w:val="00D84A92"/>
    <w:rPr>
      <w:sz w:val="16"/>
      <w:szCs w:val="16"/>
    </w:rPr>
  </w:style>
  <w:style w:type="paragraph" w:styleId="CommentText">
    <w:name w:val="annotation text"/>
    <w:basedOn w:val="Normal"/>
    <w:link w:val="CommentTextChar"/>
    <w:uiPriority w:val="99"/>
    <w:unhideWhenUsed/>
    <w:rsid w:val="00D84A92"/>
    <w:pPr>
      <w:spacing w:line="240" w:lineRule="auto"/>
    </w:pPr>
    <w:rPr>
      <w:sz w:val="20"/>
      <w:szCs w:val="20"/>
    </w:rPr>
  </w:style>
  <w:style w:type="character" w:customStyle="1" w:styleId="CommentTextChar">
    <w:name w:val="Comment Text Char"/>
    <w:basedOn w:val="DefaultParagraphFont"/>
    <w:link w:val="CommentText"/>
    <w:uiPriority w:val="99"/>
    <w:rsid w:val="00D84A9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84A92"/>
    <w:rPr>
      <w:b/>
      <w:bCs/>
    </w:rPr>
  </w:style>
  <w:style w:type="character" w:customStyle="1" w:styleId="CommentSubjectChar">
    <w:name w:val="Comment Subject Char"/>
    <w:basedOn w:val="CommentTextChar"/>
    <w:link w:val="CommentSubject"/>
    <w:uiPriority w:val="99"/>
    <w:semiHidden/>
    <w:rsid w:val="00D84A9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60920">
      <w:bodyDiv w:val="1"/>
      <w:marLeft w:val="0"/>
      <w:marRight w:val="0"/>
      <w:marTop w:val="0"/>
      <w:marBottom w:val="0"/>
      <w:divBdr>
        <w:top w:val="none" w:sz="0" w:space="0" w:color="auto"/>
        <w:left w:val="none" w:sz="0" w:space="0" w:color="auto"/>
        <w:bottom w:val="none" w:sz="0" w:space="0" w:color="auto"/>
        <w:right w:val="none" w:sz="0" w:space="0" w:color="auto"/>
      </w:divBdr>
    </w:div>
    <w:div w:id="1828401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ranet.bis.gov.uk/?attachment_id=16823"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nsultation.he@bis.gsi.gov.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consultations/higher-education-teaching-excellence-social-mobility-and-student-choi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isgovuk.citizenspace.com/he/fulfilling-our-potential%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7061</Words>
  <Characters>40248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Fulfilling our Potential: Teaching Excellence, Social Mobility and Student Choice - Consultation</vt:lpstr>
    </vt:vector>
  </TitlesOfParts>
  <Company>BIS</Company>
  <LinksUpToDate>false</LinksUpToDate>
  <CharactersWithSpaces>47215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Fulfilling our Potential: Teaching Excellence, Social Mobility and Student Choice - Consultation</dc:title>
  <dc:creator>Haines Alison (HE)</dc:creator>
  <cp:lastModifiedBy>jha5j</cp:lastModifiedBy>
  <cp:revision>2</cp:revision>
  <cp:lastPrinted>2015-11-04T18:13:00Z</cp:lastPrinted>
  <dcterms:created xsi:type="dcterms:W3CDTF">2016-01-19T13:52:00Z</dcterms:created>
  <dcterms:modified xsi:type="dcterms:W3CDTF">2016-01-19T13:52:00Z</dcterms:modified>
</cp:coreProperties>
</file>